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60" w:lineRule="exact"/>
        <w:rPr>
          <w:rFonts w:hint="default" w:ascii="Times New Roman"/>
          <w:color w:val="000000"/>
          <w:sz w:val="44"/>
          <w:szCs w:val="44"/>
        </w:rPr>
      </w:pPr>
    </w:p>
    <w:p>
      <w:pPr>
        <w:pStyle w:val="2"/>
        <w:widowControl/>
        <w:spacing w:line="560" w:lineRule="exact"/>
        <w:rPr>
          <w:rFonts w:hint="default" w:ascii="Times New Roman"/>
          <w:color w:val="000000"/>
          <w:sz w:val="44"/>
          <w:szCs w:val="44"/>
        </w:rPr>
      </w:pPr>
    </w:p>
    <w:p>
      <w:pPr>
        <w:pStyle w:val="2"/>
        <w:widowControl/>
        <w:spacing w:line="560" w:lineRule="exact"/>
        <w:rPr>
          <w:rFonts w:hint="default" w:ascii="Times New Roman"/>
          <w:color w:val="000000"/>
          <w:sz w:val="44"/>
          <w:szCs w:val="44"/>
        </w:rPr>
      </w:pPr>
    </w:p>
    <w:p>
      <w:pPr>
        <w:pStyle w:val="2"/>
        <w:widowControl/>
        <w:spacing w:line="560" w:lineRule="exact"/>
        <w:rPr>
          <w:rFonts w:hint="default" w:ascii="Times New Roman"/>
          <w:color w:val="000000"/>
          <w:sz w:val="44"/>
          <w:szCs w:val="44"/>
        </w:rPr>
      </w:pPr>
    </w:p>
    <w:p>
      <w:pPr>
        <w:pStyle w:val="2"/>
        <w:widowControl/>
        <w:spacing w:line="560" w:lineRule="exact"/>
        <w:rPr>
          <w:rFonts w:hint="default" w:ascii="Times New Roman"/>
          <w:color w:val="000000"/>
          <w:sz w:val="44"/>
          <w:szCs w:val="44"/>
        </w:rPr>
      </w:pPr>
    </w:p>
    <w:p>
      <w:pPr>
        <w:pStyle w:val="2"/>
        <w:keepNext w:val="0"/>
        <w:keepLines w:val="0"/>
        <w:pageBreakBefore w:val="0"/>
        <w:widowControl/>
        <w:kinsoku/>
        <w:wordWrap/>
        <w:overflowPunct/>
        <w:topLinePunct w:val="0"/>
        <w:autoSpaceDE/>
        <w:autoSpaceDN/>
        <w:bidi w:val="0"/>
        <w:adjustRightInd w:val="0"/>
        <w:snapToGrid/>
        <w:spacing w:line="600" w:lineRule="exact"/>
        <w:ind w:firstLine="482"/>
        <w:textAlignment w:val="auto"/>
        <w:rPr>
          <w:rFonts w:hAnsi="方正小标宋简体" w:cs="方正小标宋简体"/>
          <w:color w:val="000000"/>
          <w:sz w:val="44"/>
          <w:szCs w:val="44"/>
        </w:rPr>
      </w:pPr>
      <w:r>
        <w:rPr>
          <w:rFonts w:hint="eastAsia" w:hAnsi="方正小标宋简体" w:cs="方正小标宋简体"/>
          <w:color w:val="000000"/>
          <w:sz w:val="44"/>
          <w:szCs w:val="44"/>
          <w:lang w:eastAsia="zh-CN"/>
        </w:rPr>
        <w:t>沙堆镇</w:t>
      </w:r>
      <w:r>
        <w:rPr>
          <w:rFonts w:hAnsi="方正小标宋简体" w:cs="方正小标宋简体"/>
          <w:color w:val="000000"/>
          <w:sz w:val="44"/>
          <w:szCs w:val="44"/>
        </w:rPr>
        <w:t>国民经济和社会发展第十四个五年规划和2035年远景目标纲要</w:t>
      </w:r>
    </w:p>
    <w:p>
      <w:pPr>
        <w:pStyle w:val="2"/>
        <w:keepNext w:val="0"/>
        <w:keepLines w:val="0"/>
        <w:pageBreakBefore w:val="0"/>
        <w:widowControl/>
        <w:kinsoku/>
        <w:wordWrap/>
        <w:overflowPunct/>
        <w:topLinePunct w:val="0"/>
        <w:autoSpaceDE/>
        <w:autoSpaceDN/>
        <w:bidi w:val="0"/>
        <w:adjustRightInd w:val="0"/>
        <w:snapToGrid/>
        <w:spacing w:line="600" w:lineRule="exact"/>
        <w:jc w:val="center"/>
        <w:textAlignment w:val="auto"/>
        <w:rPr>
          <w:rFonts w:hint="default" w:hAnsi="方正小标宋简体" w:cs="方正小标宋简体"/>
          <w:color w:val="000000"/>
          <w:sz w:val="44"/>
          <w:szCs w:val="44"/>
        </w:rPr>
      </w:pPr>
      <w:r>
        <w:rPr>
          <w:rFonts w:hAnsi="方正小标宋简体" w:cs="方正小标宋简体"/>
          <w:color w:val="000000"/>
          <w:sz w:val="44"/>
          <w:szCs w:val="44"/>
        </w:rPr>
        <w:t>（</w:t>
      </w:r>
      <w:r>
        <w:rPr>
          <w:rFonts w:hint="eastAsia" w:hAnsi="方正小标宋简体" w:cs="方正小标宋简体"/>
          <w:color w:val="000000"/>
          <w:sz w:val="44"/>
          <w:szCs w:val="44"/>
          <w:lang w:eastAsia="zh-CN"/>
        </w:rPr>
        <w:t>征求意见稿</w:t>
      </w:r>
      <w:r>
        <w:rPr>
          <w:rFonts w:hAnsi="方正小标宋简体" w:cs="方正小标宋简体"/>
          <w:color w:val="000000"/>
          <w:sz w:val="44"/>
          <w:szCs w:val="44"/>
        </w:rPr>
        <w:t>）</w:t>
      </w: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2"/>
          <w:szCs w:val="32"/>
        </w:rPr>
      </w:pPr>
      <w:r>
        <w:rPr>
          <w:rFonts w:hint="eastAsia" w:ascii="Times New Roman" w:hAnsi="方正小标宋简体" w:eastAsia="方正小标宋简体" w:cs="方正小标宋简体"/>
          <w:color w:val="000000"/>
          <w:sz w:val="32"/>
          <w:szCs w:val="32"/>
        </w:rPr>
        <w:t>新会区</w:t>
      </w:r>
      <w:r>
        <w:rPr>
          <w:rFonts w:hint="eastAsia" w:ascii="Times New Roman" w:hAnsi="方正小标宋简体" w:eastAsia="方正小标宋简体" w:cs="方正小标宋简体"/>
          <w:color w:val="000000"/>
          <w:sz w:val="32"/>
          <w:szCs w:val="32"/>
          <w:lang w:eastAsia="zh-CN"/>
        </w:rPr>
        <w:t>沙堆</w:t>
      </w:r>
      <w:r>
        <w:rPr>
          <w:rFonts w:hint="eastAsia" w:ascii="Times New Roman" w:hAnsi="方正小标宋简体" w:eastAsia="方正小标宋简体" w:cs="方正小标宋简体"/>
          <w:color w:val="000000"/>
          <w:sz w:val="32"/>
          <w:szCs w:val="32"/>
        </w:rPr>
        <w:t>镇人民政府</w:t>
      </w:r>
    </w:p>
    <w:p>
      <w:pPr>
        <w:spacing w:line="560" w:lineRule="exact"/>
        <w:jc w:val="center"/>
        <w:rPr>
          <w:rFonts w:ascii="黑体" w:hAnsi="黑体" w:eastAsia="黑体" w:cs="黑体"/>
          <w:sz w:val="24"/>
        </w:rPr>
        <w:sectPr>
          <w:footerReference r:id="rId3" w:type="default"/>
          <w:pgSz w:w="11906" w:h="16838"/>
          <w:pgMar w:top="1418" w:right="1701" w:bottom="1418" w:left="1701" w:header="851" w:footer="992" w:gutter="0"/>
          <w:pgNumType w:start="1"/>
          <w:cols w:space="720" w:num="1"/>
          <w:docGrid w:type="lines" w:linePitch="312" w:charSpace="0"/>
        </w:sectPr>
      </w:pPr>
      <w:r>
        <w:rPr>
          <w:rFonts w:ascii="Times New Roman" w:hAnsi="Times New Roman" w:eastAsia="方正小标宋简体" w:cs="Times New Roman"/>
          <w:color w:val="000000"/>
          <w:sz w:val="32"/>
          <w:szCs w:val="32"/>
        </w:rPr>
        <w:t>2021</w:t>
      </w:r>
      <w:r>
        <w:rPr>
          <w:rFonts w:hint="eastAsia" w:ascii="Times New Roman" w:hAnsi="方正小标宋简体" w:eastAsia="方正小标宋简体" w:cs="方正小标宋简体"/>
          <w:color w:val="000000"/>
          <w:sz w:val="32"/>
          <w:szCs w:val="32"/>
        </w:rPr>
        <w:t>年</w:t>
      </w:r>
      <w:r>
        <w:rPr>
          <w:rFonts w:hint="eastAsia" w:ascii="Times New Roman" w:hAnsi="Times New Roman" w:eastAsia="方正小标宋简体" w:cs="Times New Roman"/>
          <w:color w:val="000000"/>
          <w:sz w:val="32"/>
          <w:szCs w:val="32"/>
        </w:rPr>
        <w:t>11</w:t>
      </w:r>
      <w:r>
        <w:rPr>
          <w:rFonts w:hint="eastAsia" w:ascii="Times New Roman" w:hAnsi="方正小标宋简体" w:eastAsia="方正小标宋简体" w:cs="方正小标宋简体"/>
          <w:color w:val="000000"/>
          <w:sz w:val="32"/>
          <w:szCs w:val="32"/>
        </w:rPr>
        <w:t>月</w:t>
      </w:r>
    </w:p>
    <w:p>
      <w:pPr>
        <w:pageBreakBefore w:val="0"/>
        <w:kinsoku/>
        <w:wordWrap/>
        <w:overflowPunct/>
        <w:topLinePunct w:val="0"/>
        <w:bidi w:val="0"/>
        <w:adjustRightInd/>
        <w:snapToGrid/>
        <w:spacing w:line="600" w:lineRule="exact"/>
        <w:ind w:left="0" w:leftChars="0" w:firstLine="680" w:firstLineChars="200"/>
        <w:jc w:val="both"/>
        <w:textAlignment w:val="auto"/>
        <w:rPr>
          <w:rFonts w:hint="eastAsia" w:ascii="仿宋" w:hAnsi="仿宋" w:eastAsia="仿宋" w:cs="仿宋"/>
          <w:sz w:val="34"/>
          <w:szCs w:val="34"/>
        </w:rPr>
      </w:pPr>
      <w:r>
        <w:rPr>
          <w:rFonts w:hint="eastAsia" w:ascii="仿宋" w:hAnsi="仿宋" w:eastAsia="仿宋" w:cs="仿宋"/>
          <w:sz w:val="34"/>
          <w:szCs w:val="34"/>
        </w:rPr>
        <w:t>本规划纲要根据《中共江门市新会区委关于制定国民经济和社会发展第十四个五年规划和二〇三五年远景目标的建议》，结合我镇实际编制，重点明确“十四五”时期（2021-2025年）</w:t>
      </w:r>
      <w:r>
        <w:rPr>
          <w:rFonts w:hint="eastAsia" w:ascii="仿宋" w:hAnsi="仿宋" w:eastAsia="仿宋" w:cs="仿宋"/>
          <w:sz w:val="34"/>
          <w:szCs w:val="34"/>
          <w:lang w:eastAsia="zh-CN"/>
        </w:rPr>
        <w:t>沙堆</w:t>
      </w:r>
      <w:r>
        <w:rPr>
          <w:rFonts w:hint="eastAsia" w:ascii="仿宋" w:hAnsi="仿宋" w:eastAsia="仿宋" w:cs="仿宋"/>
          <w:sz w:val="34"/>
          <w:szCs w:val="34"/>
        </w:rPr>
        <w:t>经济社会发展的指导思想、基本原则、发展目标、发展要求，谋划重大战略，部署重大任务，并对2035年远景目标进行展望，是战略性、宏观性、政策性规划，是政府履行经济调节、市场监管、社会管理、公共服务和生态环境保护职能的重要依据，是未来五年我镇经济社会发展的宏伟蓝图和全镇人民共同的行动纲领。</w:t>
      </w:r>
    </w:p>
    <w:p>
      <w:pPr>
        <w:pStyle w:val="2"/>
        <w:rPr>
          <w:rFonts w:hint="eastAsia"/>
        </w:rPr>
      </w:pPr>
    </w:p>
    <w:p>
      <w:pPr>
        <w:pStyle w:val="3"/>
        <w:pageBreakBefore w:val="0"/>
        <w:numPr>
          <w:ilvl w:val="0"/>
          <w:numId w:val="1"/>
        </w:numPr>
        <w:kinsoku/>
        <w:wordWrap/>
        <w:overflowPunct/>
        <w:topLinePunct w:val="0"/>
        <w:bidi w:val="0"/>
        <w:snapToGrid/>
        <w:spacing w:before="0" w:after="0" w:line="600" w:lineRule="exact"/>
        <w:textAlignment w:val="auto"/>
        <w:rPr>
          <w:rFonts w:hint="eastAsia" w:ascii="黑体" w:hAnsi="黑体" w:eastAsia="黑体" w:cs="黑体"/>
          <w:b w:val="0"/>
          <w:bCs/>
          <w:sz w:val="34"/>
          <w:szCs w:val="34"/>
        </w:rPr>
      </w:pPr>
      <w:r>
        <w:rPr>
          <w:rFonts w:hint="eastAsia" w:ascii="黑体" w:hAnsi="黑体" w:eastAsia="黑体" w:cs="黑体"/>
          <w:b w:val="0"/>
          <w:bCs/>
          <w:sz w:val="34"/>
          <w:szCs w:val="34"/>
        </w:rPr>
        <w:t>“十三五”时期主要成就和“十四五”时期</w:t>
      </w:r>
      <w:r>
        <w:rPr>
          <w:rFonts w:hint="eastAsia" w:ascii="黑体" w:hAnsi="黑体" w:eastAsia="黑体" w:cs="黑体"/>
          <w:b w:val="0"/>
          <w:bCs/>
          <w:sz w:val="34"/>
          <w:szCs w:val="34"/>
          <w:lang w:val="en-US" w:eastAsia="zh-CN"/>
        </w:rPr>
        <w:t xml:space="preserve">        </w:t>
      </w:r>
      <w:r>
        <w:rPr>
          <w:rFonts w:hint="eastAsia" w:ascii="黑体" w:hAnsi="黑体" w:eastAsia="黑体" w:cs="黑体"/>
          <w:b w:val="0"/>
          <w:bCs/>
          <w:sz w:val="34"/>
          <w:szCs w:val="34"/>
        </w:rPr>
        <w:t>发展形势</w:t>
      </w:r>
    </w:p>
    <w:p>
      <w:pPr>
        <w:numPr>
          <w:ilvl w:val="0"/>
          <w:numId w:val="0"/>
        </w:numPr>
        <w:rPr>
          <w:rFonts w:hint="eastAsia"/>
        </w:rPr>
      </w:pPr>
    </w:p>
    <w:p>
      <w:pPr>
        <w:pStyle w:val="4"/>
        <w:pageBreakBefore w:val="0"/>
        <w:numPr>
          <w:ilvl w:val="0"/>
          <w:numId w:val="2"/>
        </w:numPr>
        <w:kinsoku/>
        <w:wordWrap/>
        <w:overflowPunct/>
        <w:topLinePunct w:val="0"/>
        <w:bidi w:val="0"/>
        <w:snapToGrid/>
        <w:spacing w:before="0" w:after="0" w:line="600" w:lineRule="exact"/>
        <w:jc w:val="center"/>
        <w:textAlignment w:val="auto"/>
        <w:rPr>
          <w:rFonts w:hint="eastAsia" w:ascii="楷体" w:hAnsi="楷体" w:eastAsia="楷体" w:cs="楷体"/>
          <w:b w:val="0"/>
          <w:bCs w:val="0"/>
          <w:sz w:val="34"/>
          <w:szCs w:val="34"/>
        </w:rPr>
      </w:pPr>
      <w:bookmarkStart w:id="0" w:name="_Toc3392"/>
      <w:bookmarkStart w:id="1" w:name="_Toc15300"/>
      <w:bookmarkStart w:id="2" w:name="_Toc60738007"/>
      <w:bookmarkStart w:id="3" w:name="_Toc7276"/>
      <w:bookmarkStart w:id="4" w:name="_Toc61946310"/>
      <w:bookmarkStart w:id="5" w:name="_Toc14012"/>
      <w:r>
        <w:rPr>
          <w:rFonts w:hint="eastAsia" w:ascii="楷体" w:hAnsi="楷体" w:eastAsia="楷体" w:cs="楷体"/>
          <w:b w:val="0"/>
          <w:bCs w:val="0"/>
          <w:sz w:val="34"/>
          <w:szCs w:val="34"/>
        </w:rPr>
        <w:t>“十三五”时期发展</w:t>
      </w:r>
      <w:bookmarkEnd w:id="0"/>
      <w:bookmarkEnd w:id="1"/>
      <w:bookmarkEnd w:id="2"/>
      <w:bookmarkEnd w:id="3"/>
      <w:bookmarkEnd w:id="4"/>
      <w:bookmarkEnd w:id="5"/>
      <w:r>
        <w:rPr>
          <w:rFonts w:hint="eastAsia" w:ascii="楷体" w:hAnsi="楷体" w:eastAsia="楷体" w:cs="楷体"/>
          <w:b w:val="0"/>
          <w:bCs w:val="0"/>
          <w:sz w:val="34"/>
          <w:szCs w:val="34"/>
        </w:rPr>
        <w:t>成就</w:t>
      </w:r>
    </w:p>
    <w:p>
      <w:pPr>
        <w:numPr>
          <w:ilvl w:val="0"/>
          <w:numId w:val="0"/>
        </w:numPr>
        <w:rPr>
          <w:rFonts w:hint="eastAsia"/>
        </w:rPr>
      </w:pPr>
    </w:p>
    <w:p>
      <w:pPr>
        <w:pageBreakBefore w:val="0"/>
        <w:kinsoku/>
        <w:wordWrap/>
        <w:overflowPunct/>
        <w:topLinePunct w:val="0"/>
        <w:bidi w:val="0"/>
        <w:snapToGrid/>
        <w:spacing w:line="600" w:lineRule="exact"/>
        <w:ind w:firstLine="600"/>
        <w:jc w:val="both"/>
        <w:textAlignment w:val="auto"/>
        <w:rPr>
          <w:rFonts w:hint="eastAsia" w:ascii="仿宋" w:hAnsi="仿宋" w:eastAsia="仿宋" w:cs="仿宋"/>
          <w:sz w:val="34"/>
          <w:szCs w:val="34"/>
        </w:rPr>
      </w:pPr>
      <w:r>
        <w:rPr>
          <w:rFonts w:hint="eastAsia" w:ascii="仿宋" w:hAnsi="仿宋" w:eastAsia="仿宋" w:cs="仿宋"/>
          <w:sz w:val="34"/>
          <w:szCs w:val="34"/>
        </w:rPr>
        <w:t>“十三五”时期，面对国内外风险挑战明显上升的复杂局面，全镇上下紧密团结在以习近平同志为核心的党中央周围，切实增强“四个意识”、坚定“四个自信”、做到“两个维护”，深入贯彻党中央决策部署和省委、市委、区委工作安排，团结带领全镇人民砥砺奋进、攻坚克难、真抓实干，全力打好“三大攻坚战”，统筹做好“六稳”“六保”各项工作，如期完成全面建成小康社会各项目标任务。</w:t>
      </w:r>
    </w:p>
    <w:p>
      <w:pPr>
        <w:pageBreakBefore w:val="0"/>
        <w:kinsoku/>
        <w:wordWrap/>
        <w:overflowPunct/>
        <w:topLinePunct w:val="0"/>
        <w:bidi w:val="0"/>
        <w:snapToGrid/>
        <w:spacing w:line="600" w:lineRule="exact"/>
        <w:ind w:firstLine="680" w:firstLineChars="200"/>
        <w:textAlignment w:val="auto"/>
        <w:rPr>
          <w:rFonts w:hint="eastAsia" w:ascii="仿宋" w:hAnsi="仿宋" w:eastAsia="仿宋" w:cs="仿宋"/>
          <w:color w:val="auto"/>
          <w:sz w:val="34"/>
          <w:szCs w:val="34"/>
          <w:u w:val="none"/>
        </w:rPr>
      </w:pPr>
      <w:r>
        <w:rPr>
          <w:rFonts w:hint="eastAsia" w:ascii="仿宋" w:hAnsi="仿宋" w:eastAsia="仿宋" w:cs="仿宋"/>
          <w:color w:val="auto"/>
          <w:sz w:val="34"/>
          <w:szCs w:val="34"/>
          <w:u w:val="none"/>
        </w:rPr>
        <w:t>五年来，我们坚持稳中求进促发展，产业基础更加坚实</w:t>
      </w:r>
    </w:p>
    <w:p>
      <w:pPr>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经济综合实力显著加强。</w:t>
      </w:r>
      <w:r>
        <w:rPr>
          <w:rFonts w:hint="eastAsia" w:ascii="仿宋" w:hAnsi="仿宋" w:eastAsia="仿宋" w:cs="仿宋"/>
          <w:color w:val="auto"/>
          <w:sz w:val="34"/>
          <w:szCs w:val="34"/>
          <w:u w:val="none"/>
        </w:rPr>
        <w:t>规模以上工业总产值突破35亿元，规上企业数量从2017年21家增加到目前30家。规上工业增加值、社会消费品零售总额、地方一般公共预算收入分别年均增长6.62%、38.11%</w:t>
      </w:r>
      <w:r>
        <w:rPr>
          <w:rFonts w:hint="eastAsia" w:ascii="仿宋" w:hAnsi="仿宋" w:eastAsia="仿宋" w:cs="仿宋"/>
          <w:color w:val="auto"/>
          <w:sz w:val="34"/>
          <w:szCs w:val="34"/>
          <w:u w:val="none"/>
          <w:lang w:eastAsia="zh-CN"/>
        </w:rPr>
        <w:t>和</w:t>
      </w:r>
      <w:r>
        <w:rPr>
          <w:rFonts w:hint="eastAsia" w:ascii="仿宋" w:hAnsi="仿宋" w:eastAsia="仿宋" w:cs="仿宋"/>
          <w:color w:val="auto"/>
          <w:sz w:val="34"/>
          <w:szCs w:val="34"/>
          <w:u w:val="none"/>
        </w:rPr>
        <w:t>6%，固定资产投资年均完成16.15亿元。</w:t>
      </w:r>
      <w:r>
        <w:rPr>
          <w:rFonts w:hint="eastAsia" w:ascii="仿宋" w:hAnsi="仿宋" w:eastAsia="仿宋" w:cs="仿宋"/>
          <w:b/>
          <w:bCs/>
          <w:color w:val="auto"/>
          <w:sz w:val="34"/>
          <w:szCs w:val="34"/>
          <w:u w:val="none"/>
        </w:rPr>
        <w:t>产业结构持续优化。</w:t>
      </w:r>
      <w:r>
        <w:rPr>
          <w:rFonts w:hint="eastAsia" w:ascii="仿宋" w:hAnsi="仿宋" w:eastAsia="仿宋" w:cs="仿宋"/>
          <w:color w:val="auto"/>
          <w:sz w:val="34"/>
          <w:szCs w:val="34"/>
          <w:u w:val="none"/>
        </w:rPr>
        <w:t>一二三</w:t>
      </w:r>
      <w:r>
        <w:rPr>
          <w:rFonts w:hint="eastAsia" w:ascii="仿宋" w:hAnsi="仿宋" w:eastAsia="仿宋" w:cs="仿宋"/>
          <w:color w:val="auto"/>
          <w:sz w:val="34"/>
          <w:szCs w:val="34"/>
          <w:u w:val="none"/>
          <w:lang w:eastAsia="zh-CN"/>
        </w:rPr>
        <w:t>产业</w:t>
      </w:r>
      <w:r>
        <w:rPr>
          <w:rFonts w:hint="eastAsia" w:ascii="仿宋" w:hAnsi="仿宋" w:eastAsia="仿宋" w:cs="仿宋"/>
          <w:color w:val="auto"/>
          <w:sz w:val="34"/>
          <w:szCs w:val="34"/>
          <w:u w:val="none"/>
        </w:rPr>
        <w:t>比例优化至13∶81∶6。工业立镇战略深入实施，先进装备制造、新型材料、</w:t>
      </w:r>
      <w:r>
        <w:rPr>
          <w:rFonts w:hint="eastAsia" w:ascii="仿宋" w:hAnsi="仿宋" w:eastAsia="仿宋" w:cs="仿宋"/>
          <w:color w:val="auto"/>
          <w:sz w:val="34"/>
          <w:szCs w:val="34"/>
          <w:u w:val="none"/>
          <w:lang w:eastAsia="zh-CN"/>
        </w:rPr>
        <w:t>现代纺织</w:t>
      </w:r>
      <w:r>
        <w:rPr>
          <w:rFonts w:hint="eastAsia" w:ascii="仿宋" w:hAnsi="仿宋" w:eastAsia="仿宋" w:cs="仿宋"/>
          <w:color w:val="auto"/>
          <w:sz w:val="34"/>
          <w:szCs w:val="34"/>
          <w:u w:val="none"/>
        </w:rPr>
        <w:t>三大主导产业规上企业总产值占比超9成。招商引资成效显著，5年来成功引进超亿元项目16个，实现投产项目9个，投资总额超57亿元。</w:t>
      </w:r>
      <w:r>
        <w:rPr>
          <w:rFonts w:hint="eastAsia" w:ascii="仿宋" w:hAnsi="仿宋" w:eastAsia="仿宋" w:cs="仿宋"/>
          <w:b/>
          <w:bCs/>
          <w:color w:val="auto"/>
          <w:sz w:val="34"/>
          <w:szCs w:val="34"/>
          <w:u w:val="none"/>
        </w:rPr>
        <w:t>工业经济稳步提升。</w:t>
      </w:r>
      <w:r>
        <w:rPr>
          <w:rFonts w:hint="eastAsia" w:ascii="仿宋" w:hAnsi="仿宋" w:eastAsia="仿宋" w:cs="仿宋"/>
          <w:color w:val="auto"/>
          <w:sz w:val="34"/>
          <w:szCs w:val="34"/>
          <w:u w:val="none"/>
        </w:rPr>
        <w:t>紧盯重点项目落地建设，小尔纺织新材料产业园、</w:t>
      </w:r>
      <w:r>
        <w:rPr>
          <w:rFonts w:hint="eastAsia" w:ascii="仿宋" w:hAnsi="仿宋" w:eastAsia="仿宋" w:cs="仿宋"/>
          <w:color w:val="auto"/>
          <w:sz w:val="34"/>
          <w:szCs w:val="34"/>
          <w:highlight w:val="none"/>
          <w:u w:val="none"/>
        </w:rPr>
        <w:t>博森康体材料</w:t>
      </w:r>
      <w:r>
        <w:rPr>
          <w:rFonts w:hint="eastAsia" w:ascii="仿宋" w:hAnsi="仿宋" w:eastAsia="仿宋" w:cs="仿宋"/>
          <w:color w:val="auto"/>
          <w:sz w:val="34"/>
          <w:szCs w:val="34"/>
          <w:u w:val="none"/>
        </w:rPr>
        <w:t>、三和管桩、建丰管桩等4个省市重点在建项目计划总投资近26亿元。扶持企业发展壮大。实施重点企业倍增计划，海星游艇、宝发服饰、广进铸锻、航建工程4家企业纳入倍增计划培育库。</w:t>
      </w:r>
      <w:r>
        <w:rPr>
          <w:rFonts w:hint="eastAsia" w:ascii="仿宋" w:hAnsi="仿宋" w:eastAsia="仿宋" w:cs="仿宋"/>
          <w:b/>
          <w:bCs/>
          <w:color w:val="auto"/>
          <w:sz w:val="34"/>
          <w:szCs w:val="34"/>
          <w:u w:val="none"/>
        </w:rPr>
        <w:t>创新动能加快转换。</w:t>
      </w:r>
      <w:r>
        <w:rPr>
          <w:rFonts w:hint="eastAsia" w:ascii="仿宋" w:hAnsi="仿宋" w:eastAsia="仿宋" w:cs="仿宋"/>
          <w:color w:val="auto"/>
          <w:sz w:val="34"/>
          <w:szCs w:val="34"/>
          <w:u w:val="none"/>
        </w:rPr>
        <w:t>技改投资累计完成近53亿元，较“十二五”时期增长34.84%。新增高企17家，新增省市工程中心14家。海星游艇获得广东省第十届“省长杯”工业设计大赛决赛铜奖、汽车制造及海工装备类专项赛二等奖、新会区创新创业大赛铜奖；汇城丰获新会区创新创业大赛金奖，企业创新设计能力不断提升。</w:t>
      </w:r>
    </w:p>
    <w:p>
      <w:pPr>
        <w:pageBreakBefore w:val="0"/>
        <w:kinsoku/>
        <w:wordWrap/>
        <w:overflowPunct/>
        <w:topLinePunct w:val="0"/>
        <w:bidi w:val="0"/>
        <w:snapToGrid/>
        <w:spacing w:line="600" w:lineRule="exact"/>
        <w:ind w:firstLine="680" w:firstLineChars="200"/>
        <w:textAlignment w:val="auto"/>
        <w:rPr>
          <w:rFonts w:hint="eastAsia" w:ascii="仿宋" w:hAnsi="仿宋" w:eastAsia="仿宋" w:cs="仿宋"/>
          <w:color w:val="auto"/>
          <w:sz w:val="34"/>
          <w:szCs w:val="34"/>
          <w:u w:val="none"/>
        </w:rPr>
      </w:pPr>
      <w:r>
        <w:rPr>
          <w:rFonts w:hint="eastAsia" w:ascii="仿宋" w:hAnsi="仿宋" w:eastAsia="仿宋" w:cs="仿宋"/>
          <w:color w:val="auto"/>
          <w:sz w:val="34"/>
          <w:szCs w:val="34"/>
          <w:u w:val="none"/>
        </w:rPr>
        <w:t>五年来，我们协调并进强统筹，融入大湾区建设取得新突破</w:t>
      </w:r>
    </w:p>
    <w:p>
      <w:pPr>
        <w:pStyle w:val="11"/>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交通网络加快构建。</w:t>
      </w:r>
      <w:r>
        <w:rPr>
          <w:rFonts w:hint="eastAsia" w:ascii="仿宋" w:hAnsi="仿宋" w:eastAsia="仿宋" w:cs="仿宋"/>
          <w:color w:val="auto"/>
          <w:sz w:val="34"/>
          <w:szCs w:val="34"/>
          <w:u w:val="none"/>
        </w:rPr>
        <w:t>江门大道南东线（沙堆段）实现左幅通车</w:t>
      </w:r>
      <w:r>
        <w:rPr>
          <w:rFonts w:hint="eastAsia" w:ascii="仿宋" w:hAnsi="仿宋" w:eastAsia="仿宋" w:cs="仿宋"/>
          <w:color w:val="auto"/>
          <w:sz w:val="34"/>
          <w:szCs w:val="34"/>
          <w:highlight w:val="none"/>
          <w:u w:val="none"/>
        </w:rPr>
        <w:t>，2022年将实现全线通车</w:t>
      </w:r>
      <w:r>
        <w:rPr>
          <w:rFonts w:hint="eastAsia" w:ascii="仿宋" w:hAnsi="仿宋" w:eastAsia="仿宋" w:cs="仿宋"/>
          <w:color w:val="auto"/>
          <w:sz w:val="34"/>
          <w:szCs w:val="34"/>
          <w:u w:val="none"/>
        </w:rPr>
        <w:t>。</w:t>
      </w:r>
      <w:r>
        <w:rPr>
          <w:rFonts w:hint="eastAsia" w:ascii="仿宋" w:hAnsi="仿宋" w:eastAsia="仿宋" w:cs="仿宋"/>
          <w:color w:val="auto"/>
          <w:spacing w:val="-2"/>
          <w:kern w:val="0"/>
          <w:sz w:val="34"/>
          <w:szCs w:val="34"/>
          <w:u w:val="none"/>
        </w:rPr>
        <w:t>试点在银湖船舶码头建设港澳船舶维修专用码头，进一步便捷港澳船舶维修通关流程，促进三地的交流合作。投入超1400万完成14条里程累计12.21公里</w:t>
      </w:r>
      <w:r>
        <w:rPr>
          <w:rFonts w:hint="eastAsia" w:ascii="仿宋" w:hAnsi="仿宋" w:eastAsia="仿宋" w:cs="仿宋"/>
          <w:color w:val="auto"/>
          <w:spacing w:val="-2"/>
          <w:kern w:val="0"/>
          <w:sz w:val="34"/>
          <w:szCs w:val="34"/>
          <w:u w:val="none"/>
          <w:lang w:eastAsia="zh-CN"/>
        </w:rPr>
        <w:t>的</w:t>
      </w:r>
      <w:r>
        <w:rPr>
          <w:rFonts w:hint="eastAsia" w:ascii="仿宋" w:hAnsi="仿宋" w:eastAsia="仿宋" w:cs="仿宋"/>
          <w:color w:val="auto"/>
          <w:spacing w:val="-2"/>
          <w:kern w:val="0"/>
          <w:sz w:val="34"/>
          <w:szCs w:val="34"/>
          <w:u w:val="none"/>
        </w:rPr>
        <w:t>“四好农村路”。</w:t>
      </w:r>
      <w:r>
        <w:rPr>
          <w:rFonts w:hint="eastAsia" w:ascii="仿宋" w:hAnsi="仿宋" w:eastAsia="仿宋" w:cs="仿宋"/>
          <w:b/>
          <w:bCs/>
          <w:color w:val="auto"/>
          <w:sz w:val="34"/>
          <w:szCs w:val="34"/>
          <w:u w:val="none"/>
        </w:rPr>
        <w:t>园区平台逐步完善。</w:t>
      </w:r>
      <w:r>
        <w:rPr>
          <w:rFonts w:hint="eastAsia" w:ascii="仿宋" w:hAnsi="仿宋" w:eastAsia="仿宋" w:cs="仿宋"/>
          <w:color w:val="auto"/>
          <w:sz w:val="34"/>
          <w:szCs w:val="34"/>
          <w:u w:val="none"/>
        </w:rPr>
        <w:t>金门工业园划入粤港澳大湾区（珠西）高端产业集聚发展区，</w:t>
      </w:r>
      <w:r>
        <w:rPr>
          <w:rFonts w:hint="eastAsia" w:ascii="仿宋" w:hAnsi="仿宋" w:eastAsia="仿宋" w:cs="仿宋"/>
          <w:color w:val="auto"/>
          <w:spacing w:val="-2"/>
          <w:kern w:val="0"/>
          <w:sz w:val="34"/>
          <w:szCs w:val="34"/>
          <w:u w:val="none"/>
          <w:lang w:eastAsia="zh-CN"/>
        </w:rPr>
        <w:t>拓展新的</w:t>
      </w:r>
      <w:r>
        <w:rPr>
          <w:rFonts w:hint="eastAsia" w:ascii="仿宋" w:hAnsi="仿宋" w:eastAsia="仿宋" w:cs="仿宋"/>
          <w:color w:val="auto"/>
          <w:spacing w:val="-2"/>
          <w:kern w:val="0"/>
          <w:sz w:val="34"/>
          <w:szCs w:val="34"/>
          <w:u w:val="none"/>
        </w:rPr>
        <w:t>区域产业合作空间</w:t>
      </w:r>
      <w:r>
        <w:rPr>
          <w:rFonts w:hint="eastAsia" w:ascii="仿宋" w:hAnsi="仿宋" w:eastAsia="仿宋" w:cs="仿宋"/>
          <w:color w:val="auto"/>
          <w:spacing w:val="-2"/>
          <w:kern w:val="0"/>
          <w:sz w:val="34"/>
          <w:szCs w:val="34"/>
          <w:u w:val="none"/>
          <w:lang w:eastAsia="zh-CN"/>
        </w:rPr>
        <w:t>。</w:t>
      </w:r>
      <w:r>
        <w:rPr>
          <w:rFonts w:hint="eastAsia" w:ascii="仿宋" w:hAnsi="仿宋" w:eastAsia="仿宋" w:cs="仿宋"/>
          <w:color w:val="auto"/>
          <w:spacing w:val="-2"/>
          <w:kern w:val="0"/>
          <w:sz w:val="34"/>
          <w:szCs w:val="34"/>
          <w:u w:val="none"/>
        </w:rPr>
        <w:t>加快</w:t>
      </w:r>
      <w:r>
        <w:rPr>
          <w:rFonts w:hint="eastAsia" w:ascii="仿宋" w:hAnsi="仿宋" w:eastAsia="仿宋" w:cs="仿宋"/>
          <w:color w:val="auto"/>
          <w:spacing w:val="-2"/>
          <w:kern w:val="0"/>
          <w:sz w:val="34"/>
          <w:szCs w:val="34"/>
          <w:u w:val="none"/>
          <w:lang w:eastAsia="zh-CN"/>
        </w:rPr>
        <w:t>金门</w:t>
      </w:r>
      <w:r>
        <w:rPr>
          <w:rFonts w:hint="eastAsia" w:ascii="仿宋" w:hAnsi="仿宋" w:eastAsia="仿宋" w:cs="仿宋"/>
          <w:color w:val="auto"/>
          <w:spacing w:val="-2"/>
          <w:kern w:val="0"/>
          <w:sz w:val="34"/>
          <w:szCs w:val="34"/>
          <w:u w:val="none"/>
        </w:rPr>
        <w:t>工业园区公共配套服务设施建设</w:t>
      </w:r>
      <w:r>
        <w:rPr>
          <w:rFonts w:hint="eastAsia" w:ascii="仿宋" w:hAnsi="仿宋" w:eastAsia="仿宋" w:cs="仿宋"/>
          <w:color w:val="auto"/>
          <w:spacing w:val="-2"/>
          <w:kern w:val="0"/>
          <w:sz w:val="34"/>
          <w:szCs w:val="34"/>
          <w:u w:val="none"/>
          <w:lang w:eastAsia="zh-CN"/>
        </w:rPr>
        <w:t>，</w:t>
      </w:r>
      <w:r>
        <w:rPr>
          <w:rFonts w:hint="eastAsia" w:ascii="仿宋" w:hAnsi="仿宋" w:eastAsia="仿宋" w:cs="仿宋"/>
          <w:color w:val="auto"/>
          <w:spacing w:val="-2"/>
          <w:kern w:val="0"/>
          <w:sz w:val="34"/>
          <w:szCs w:val="34"/>
          <w:u w:val="none"/>
        </w:rPr>
        <w:t>建成园区集中供热项目，进一步降低园区能耗和环境污染。</w:t>
      </w:r>
      <w:r>
        <w:rPr>
          <w:rFonts w:hint="eastAsia" w:ascii="仿宋" w:hAnsi="仿宋" w:eastAsia="仿宋" w:cs="仿宋"/>
          <w:b/>
          <w:bCs/>
          <w:color w:val="auto"/>
          <w:sz w:val="34"/>
          <w:szCs w:val="34"/>
          <w:u w:val="none"/>
        </w:rPr>
        <w:t>生态环境稳定向好。</w:t>
      </w:r>
      <w:r>
        <w:rPr>
          <w:rFonts w:hint="eastAsia" w:ascii="仿宋" w:hAnsi="仿宋" w:eastAsia="仿宋" w:cs="仿宋"/>
          <w:color w:val="auto"/>
          <w:spacing w:val="-2"/>
          <w:kern w:val="0"/>
          <w:sz w:val="34"/>
          <w:szCs w:val="34"/>
          <w:u w:val="none"/>
        </w:rPr>
        <w:t>高标准完成9台燃煤锅炉改造并办理相关变更手续；开展违法违规企业整治，14家申请补办手续，6家完成备案登记；完成21辆黄标车淘汰任务；完成工业、农业等污染源普查单位101家。</w:t>
      </w:r>
      <w:r>
        <w:rPr>
          <w:rFonts w:hint="eastAsia" w:ascii="仿宋" w:hAnsi="仿宋" w:eastAsia="仿宋" w:cs="仿宋"/>
          <w:b/>
          <w:bCs/>
          <w:color w:val="auto"/>
          <w:sz w:val="34"/>
          <w:szCs w:val="34"/>
          <w:u w:val="none"/>
        </w:rPr>
        <w:t>土地资源有效盘活。</w:t>
      </w:r>
      <w:r>
        <w:rPr>
          <w:rFonts w:hint="eastAsia" w:ascii="仿宋" w:hAnsi="仿宋" w:eastAsia="仿宋" w:cs="仿宋"/>
          <w:color w:val="auto"/>
          <w:spacing w:val="-2"/>
          <w:kern w:val="0"/>
          <w:sz w:val="34"/>
          <w:szCs w:val="34"/>
          <w:u w:val="none"/>
        </w:rPr>
        <w:t>实施土地供给侧结构性改</w:t>
      </w:r>
      <w:r>
        <w:rPr>
          <w:rFonts w:hint="eastAsia" w:ascii="仿宋" w:hAnsi="仿宋" w:eastAsia="仿宋" w:cs="仿宋"/>
          <w:color w:val="auto"/>
          <w:kern w:val="2"/>
          <w:sz w:val="34"/>
          <w:szCs w:val="34"/>
          <w:u w:val="none"/>
          <w:lang w:val="en-US" w:eastAsia="zh-CN" w:bidi="ar-SA"/>
        </w:rPr>
        <w:t>革，节约集约利用土地，完成城乡建设用地增减挂钩面积约220亩、农村建设用地拆旧</w:t>
      </w:r>
      <w:r>
        <w:rPr>
          <w:rFonts w:hint="eastAsia" w:ascii="仿宋" w:hAnsi="仿宋" w:eastAsia="仿宋" w:cs="仿宋"/>
          <w:color w:val="auto"/>
          <w:spacing w:val="-2"/>
          <w:kern w:val="0"/>
          <w:sz w:val="34"/>
          <w:szCs w:val="34"/>
          <w:u w:val="none"/>
        </w:rPr>
        <w:t>复垦面积约173亩；实现“零增地上项目”，五年来共计盘活低效和闲置土地500</w:t>
      </w:r>
      <w:r>
        <w:rPr>
          <w:rFonts w:hint="eastAsia" w:ascii="仿宋" w:hAnsi="仿宋" w:eastAsia="仿宋" w:cs="仿宋"/>
          <w:color w:val="auto"/>
          <w:spacing w:val="-2"/>
          <w:kern w:val="0"/>
          <w:sz w:val="34"/>
          <w:szCs w:val="34"/>
          <w:u w:val="none"/>
          <w:lang w:eastAsia="zh-CN"/>
        </w:rPr>
        <w:t>多</w:t>
      </w:r>
      <w:r>
        <w:rPr>
          <w:rFonts w:hint="eastAsia" w:ascii="仿宋" w:hAnsi="仿宋" w:eastAsia="仿宋" w:cs="仿宋"/>
          <w:color w:val="auto"/>
          <w:spacing w:val="-2"/>
          <w:kern w:val="0"/>
          <w:sz w:val="34"/>
          <w:szCs w:val="34"/>
          <w:u w:val="none"/>
        </w:rPr>
        <w:t>亩、厂房面积近4万平方米，利用闲置厂房、土地引进项目6个，总投资达16亿元。</w:t>
      </w:r>
      <w:r>
        <w:rPr>
          <w:rFonts w:hint="eastAsia" w:ascii="仿宋" w:hAnsi="仿宋" w:eastAsia="仿宋" w:cs="仿宋"/>
          <w:b/>
          <w:bCs/>
          <w:color w:val="auto"/>
          <w:sz w:val="34"/>
          <w:szCs w:val="34"/>
          <w:u w:val="none"/>
        </w:rPr>
        <w:t>营商环境不断优化。</w:t>
      </w:r>
      <w:r>
        <w:rPr>
          <w:rFonts w:hint="eastAsia" w:ascii="仿宋" w:hAnsi="仿宋" w:eastAsia="仿宋" w:cs="仿宋"/>
          <w:bCs/>
          <w:color w:val="auto"/>
          <w:sz w:val="34"/>
          <w:szCs w:val="34"/>
          <w:u w:val="none"/>
        </w:rPr>
        <w:t>深入推进暖企行动，</w:t>
      </w:r>
      <w:r>
        <w:rPr>
          <w:rFonts w:hint="eastAsia" w:ascii="仿宋" w:hAnsi="仿宋" w:eastAsia="仿宋" w:cs="仿宋"/>
          <w:color w:val="auto"/>
          <w:sz w:val="34"/>
          <w:szCs w:val="34"/>
          <w:u w:val="none"/>
        </w:rPr>
        <w:t>7家企业获“黄金十条”自动兑付奖励达557.7万元，有效增强企业发展信心。</w:t>
      </w:r>
      <w:r>
        <w:rPr>
          <w:rFonts w:hint="eastAsia" w:ascii="仿宋" w:hAnsi="仿宋" w:eastAsia="仿宋" w:cs="仿宋"/>
          <w:color w:val="auto"/>
          <w:sz w:val="34"/>
          <w:szCs w:val="34"/>
          <w:u w:val="none"/>
          <w:lang w:eastAsia="zh-CN"/>
        </w:rPr>
        <w:t>派出</w:t>
      </w:r>
      <w:r>
        <w:rPr>
          <w:rFonts w:hint="eastAsia" w:ascii="仿宋" w:hAnsi="仿宋" w:eastAsia="仿宋" w:cs="仿宋"/>
          <w:color w:val="auto"/>
          <w:sz w:val="34"/>
          <w:szCs w:val="34"/>
          <w:u w:val="none"/>
        </w:rPr>
        <w:t>专人服务企业办理建设投产事项，使“最多跑一次”改革落地见效；商事制度改革提速增效，企业全流程开办最快2小时办结。</w:t>
      </w:r>
    </w:p>
    <w:p>
      <w:pPr>
        <w:pageBreakBefore w:val="0"/>
        <w:kinsoku/>
        <w:wordWrap/>
        <w:overflowPunct/>
        <w:topLinePunct w:val="0"/>
        <w:bidi w:val="0"/>
        <w:snapToGrid/>
        <w:spacing w:line="600" w:lineRule="exact"/>
        <w:ind w:left="0" w:leftChars="0" w:firstLine="680" w:firstLineChars="200"/>
        <w:textAlignment w:val="auto"/>
        <w:rPr>
          <w:rFonts w:hint="eastAsia" w:ascii="仿宋" w:hAnsi="仿宋" w:eastAsia="仿宋" w:cs="仿宋"/>
          <w:color w:val="auto"/>
          <w:sz w:val="34"/>
          <w:szCs w:val="34"/>
          <w:u w:val="none"/>
        </w:rPr>
      </w:pPr>
      <w:r>
        <w:rPr>
          <w:rFonts w:hint="eastAsia" w:ascii="仿宋" w:hAnsi="仿宋" w:eastAsia="仿宋" w:cs="仿宋"/>
          <w:color w:val="auto"/>
          <w:sz w:val="34"/>
          <w:szCs w:val="34"/>
          <w:u w:val="none"/>
        </w:rPr>
        <w:t>五年来，我们坚持砥砺奋进破难题，乡村振兴取得新成绩</w:t>
      </w:r>
    </w:p>
    <w:p>
      <w:pPr>
        <w:pageBreakBefore w:val="0"/>
        <w:kinsoku/>
        <w:wordWrap/>
        <w:overflowPunct/>
        <w:topLinePunct w:val="0"/>
        <w:bidi w:val="0"/>
        <w:snapToGrid/>
        <w:spacing w:line="600" w:lineRule="exact"/>
        <w:ind w:left="0" w:leftChars="0"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脱贫攻坚全面胜利。</w:t>
      </w:r>
      <w:r>
        <w:rPr>
          <w:rFonts w:hint="eastAsia" w:ascii="仿宋" w:hAnsi="仿宋" w:eastAsia="仿宋" w:cs="仿宋"/>
          <w:color w:val="auto"/>
          <w:sz w:val="34"/>
          <w:szCs w:val="34"/>
          <w:u w:val="none"/>
        </w:rPr>
        <w:t>全镇28户89人如期稳定实现脱贫。低保和特困人员基本生活补贴继续提标。投入360多万元巩固脱贫工作成效，持续做实助学帮扶、医疗保障和产业扶贫。</w:t>
      </w:r>
      <w:r>
        <w:rPr>
          <w:rFonts w:hint="eastAsia" w:ascii="仿宋" w:hAnsi="仿宋" w:eastAsia="仿宋" w:cs="仿宋"/>
          <w:b/>
          <w:bCs/>
          <w:color w:val="auto"/>
          <w:sz w:val="34"/>
          <w:szCs w:val="34"/>
          <w:u w:val="none"/>
        </w:rPr>
        <w:t>农村改革纵深开展。</w:t>
      </w:r>
      <w:r>
        <w:rPr>
          <w:rFonts w:hint="eastAsia" w:ascii="仿宋" w:hAnsi="仿宋" w:eastAsia="仿宋" w:cs="仿宋"/>
          <w:color w:val="auto"/>
          <w:spacing w:val="-2"/>
          <w:kern w:val="0"/>
          <w:sz w:val="34"/>
          <w:szCs w:val="34"/>
          <w:u w:val="none"/>
        </w:rPr>
        <w:t>11个行政村完成土地确权登记颁证，基本完成农村集体产权制度改革；完善</w:t>
      </w:r>
      <w:r>
        <w:rPr>
          <w:rFonts w:hint="eastAsia" w:ascii="仿宋" w:hAnsi="仿宋" w:eastAsia="仿宋" w:cs="仿宋"/>
          <w:color w:val="auto"/>
          <w:spacing w:val="-2"/>
          <w:kern w:val="0"/>
          <w:sz w:val="34"/>
          <w:szCs w:val="34"/>
          <w:u w:val="none"/>
          <w:lang w:eastAsia="zh-CN"/>
        </w:rPr>
        <w:t>农村</w:t>
      </w:r>
      <w:r>
        <w:rPr>
          <w:rFonts w:hint="eastAsia" w:ascii="仿宋" w:hAnsi="仿宋" w:eastAsia="仿宋" w:cs="仿宋"/>
          <w:color w:val="auto"/>
          <w:spacing w:val="-2"/>
          <w:kern w:val="0"/>
          <w:sz w:val="34"/>
          <w:szCs w:val="34"/>
          <w:u w:val="none"/>
        </w:rPr>
        <w:t>“三资”管理制度，58个村（组）集体经济组织完成清产核资。</w:t>
      </w:r>
      <w:r>
        <w:rPr>
          <w:rFonts w:hint="eastAsia" w:ascii="仿宋" w:hAnsi="仿宋" w:eastAsia="仿宋" w:cs="仿宋"/>
          <w:b/>
          <w:bCs/>
          <w:color w:val="auto"/>
          <w:sz w:val="34"/>
          <w:szCs w:val="34"/>
          <w:u w:val="none"/>
        </w:rPr>
        <w:t>农业生产转型升级。</w:t>
      </w:r>
      <w:r>
        <w:rPr>
          <w:rFonts w:hint="eastAsia" w:ascii="仿宋" w:hAnsi="仿宋" w:eastAsia="仿宋" w:cs="仿宋"/>
          <w:color w:val="auto"/>
          <w:spacing w:val="-2"/>
          <w:kern w:val="0"/>
          <w:sz w:val="34"/>
          <w:szCs w:val="34"/>
          <w:u w:val="none"/>
        </w:rPr>
        <w:t>推动农业现代化建设，建立3000亩水稻高产示范片，申报32户科技示范户，大力推广测土配方技术及无公害种植技术。保障粮食供给，完成撂荒耕地整治190多亩，全镇粮食播种面积稳定在6000亩左右。</w:t>
      </w:r>
      <w:r>
        <w:rPr>
          <w:rFonts w:hint="eastAsia" w:ascii="仿宋" w:hAnsi="仿宋" w:eastAsia="仿宋" w:cs="仿宋"/>
          <w:b/>
          <w:color w:val="auto"/>
          <w:sz w:val="34"/>
          <w:szCs w:val="34"/>
          <w:u w:val="none"/>
        </w:rPr>
        <w:t>人居环境</w:t>
      </w:r>
      <w:r>
        <w:rPr>
          <w:rFonts w:hint="eastAsia" w:ascii="仿宋" w:hAnsi="仿宋" w:eastAsia="仿宋" w:cs="仿宋"/>
          <w:b/>
          <w:color w:val="auto"/>
          <w:sz w:val="34"/>
          <w:szCs w:val="34"/>
          <w:u w:val="none"/>
          <w:lang w:eastAsia="zh-CN"/>
        </w:rPr>
        <w:t>明显改善</w:t>
      </w:r>
      <w:r>
        <w:rPr>
          <w:rFonts w:hint="eastAsia" w:ascii="仿宋" w:hAnsi="仿宋" w:eastAsia="仿宋" w:cs="仿宋"/>
          <w:b/>
          <w:color w:val="auto"/>
          <w:sz w:val="34"/>
          <w:szCs w:val="34"/>
          <w:u w:val="none"/>
        </w:rPr>
        <w:t>。</w:t>
      </w:r>
      <w:r>
        <w:rPr>
          <w:rFonts w:hint="eastAsia" w:ascii="仿宋" w:hAnsi="仿宋" w:eastAsia="仿宋" w:cs="仿宋"/>
          <w:bCs/>
          <w:color w:val="auto"/>
          <w:sz w:val="34"/>
          <w:szCs w:val="34"/>
          <w:u w:val="none"/>
        </w:rPr>
        <w:t>累计</w:t>
      </w:r>
      <w:r>
        <w:rPr>
          <w:rFonts w:hint="eastAsia" w:ascii="仿宋" w:hAnsi="仿宋" w:eastAsia="仿宋" w:cs="仿宋"/>
          <w:color w:val="auto"/>
          <w:spacing w:val="-2"/>
          <w:kern w:val="0"/>
          <w:sz w:val="34"/>
          <w:szCs w:val="34"/>
          <w:u w:val="none"/>
        </w:rPr>
        <w:t>投入2000多万元开展“三清三拆三整</w:t>
      </w:r>
      <w:r>
        <w:rPr>
          <w:rFonts w:hint="eastAsia" w:ascii="仿宋" w:hAnsi="仿宋" w:eastAsia="仿宋" w:cs="仿宋"/>
          <w:color w:val="auto"/>
          <w:sz w:val="34"/>
          <w:szCs w:val="34"/>
          <w:u w:val="none"/>
        </w:rPr>
        <w:t>治”，新建村级</w:t>
      </w:r>
      <w:r>
        <w:rPr>
          <w:rFonts w:hint="eastAsia" w:ascii="仿宋" w:hAnsi="仿宋" w:eastAsia="仿宋" w:cs="仿宋"/>
          <w:color w:val="auto"/>
          <w:sz w:val="34"/>
          <w:szCs w:val="34"/>
          <w:u w:val="none"/>
          <w:lang w:eastAsia="zh-CN"/>
        </w:rPr>
        <w:t>示范</w:t>
      </w:r>
      <w:r>
        <w:rPr>
          <w:rFonts w:hint="eastAsia" w:ascii="仿宋" w:hAnsi="仿宋" w:eastAsia="仿宋" w:cs="仿宋"/>
          <w:color w:val="auto"/>
          <w:sz w:val="34"/>
          <w:szCs w:val="34"/>
          <w:u w:val="none"/>
        </w:rPr>
        <w:t>公园7座，河岸改造2个，新（改）建</w:t>
      </w:r>
      <w:r>
        <w:rPr>
          <w:rFonts w:hint="eastAsia" w:ascii="仿宋" w:hAnsi="仿宋" w:eastAsia="仿宋" w:cs="仿宋"/>
          <w:color w:val="auto"/>
          <w:sz w:val="34"/>
          <w:szCs w:val="34"/>
          <w:u w:val="none"/>
          <w:lang w:eastAsia="zh-CN"/>
        </w:rPr>
        <w:t>公厕</w:t>
      </w:r>
      <w:r>
        <w:rPr>
          <w:rFonts w:hint="eastAsia" w:ascii="仿宋" w:hAnsi="仿宋" w:eastAsia="仿宋" w:cs="仿宋"/>
          <w:color w:val="auto"/>
          <w:sz w:val="34"/>
          <w:szCs w:val="34"/>
          <w:u w:val="none"/>
        </w:rPr>
        <w:t>32座，</w:t>
      </w:r>
      <w:r>
        <w:rPr>
          <w:rFonts w:hint="eastAsia" w:ascii="仿宋" w:hAnsi="仿宋" w:eastAsia="仿宋" w:cs="仿宋"/>
          <w:color w:val="auto"/>
          <w:sz w:val="34"/>
          <w:szCs w:val="34"/>
          <w:u w:val="none"/>
          <w:lang w:eastAsia="zh-CN"/>
        </w:rPr>
        <w:t>升级改造</w:t>
      </w:r>
      <w:r>
        <w:rPr>
          <w:rFonts w:hint="eastAsia" w:ascii="仿宋" w:hAnsi="仿宋" w:eastAsia="仿宋" w:cs="仿宋"/>
          <w:color w:val="auto"/>
          <w:sz w:val="34"/>
          <w:szCs w:val="34"/>
          <w:u w:val="none"/>
        </w:rPr>
        <w:t>511户无害化卫生户厕。投入4900多万元建</w:t>
      </w:r>
      <w:r>
        <w:rPr>
          <w:rFonts w:hint="eastAsia" w:ascii="仿宋" w:hAnsi="仿宋" w:eastAsia="仿宋" w:cs="仿宋"/>
          <w:color w:val="auto"/>
          <w:spacing w:val="-2"/>
          <w:kern w:val="0"/>
          <w:sz w:val="34"/>
          <w:szCs w:val="34"/>
          <w:u w:val="none"/>
        </w:rPr>
        <w:t>成12个农村污水处理站点</w:t>
      </w:r>
      <w:r>
        <w:rPr>
          <w:rFonts w:hint="eastAsia" w:ascii="仿宋" w:hAnsi="仿宋" w:eastAsia="仿宋" w:cs="仿宋"/>
          <w:color w:val="auto"/>
          <w:sz w:val="34"/>
          <w:szCs w:val="34"/>
          <w:u w:val="none"/>
        </w:rPr>
        <w:t>。</w:t>
      </w:r>
      <w:r>
        <w:rPr>
          <w:rFonts w:hint="eastAsia" w:ascii="仿宋" w:hAnsi="仿宋" w:eastAsia="仿宋" w:cs="仿宋"/>
          <w:color w:val="auto"/>
          <w:spacing w:val="-2"/>
          <w:kern w:val="0"/>
          <w:sz w:val="34"/>
          <w:szCs w:val="34"/>
          <w:u w:val="none"/>
          <w:lang w:eastAsia="zh-CN"/>
        </w:rPr>
        <w:t>创建</w:t>
      </w:r>
      <w:r>
        <w:rPr>
          <w:rFonts w:hint="eastAsia" w:ascii="仿宋" w:hAnsi="仿宋" w:eastAsia="仿宋" w:cs="仿宋"/>
          <w:color w:val="auto"/>
          <w:spacing w:val="-2"/>
          <w:kern w:val="0"/>
          <w:sz w:val="34"/>
          <w:szCs w:val="34"/>
          <w:u w:val="none"/>
        </w:rPr>
        <w:t>11个干净整洁村、8个美丽宜居村。统一圩镇和梅阁市场主道路沿线广告牌样式，主干道周边环境得到</w:t>
      </w:r>
      <w:r>
        <w:rPr>
          <w:rFonts w:hint="eastAsia" w:ascii="仿宋" w:hAnsi="仿宋" w:eastAsia="仿宋" w:cs="仿宋"/>
          <w:color w:val="auto"/>
          <w:spacing w:val="-2"/>
          <w:kern w:val="0"/>
          <w:sz w:val="34"/>
          <w:szCs w:val="34"/>
          <w:u w:val="none"/>
          <w:lang w:eastAsia="zh-CN"/>
        </w:rPr>
        <w:t>有效</w:t>
      </w:r>
      <w:r>
        <w:rPr>
          <w:rFonts w:hint="eastAsia" w:ascii="仿宋" w:hAnsi="仿宋" w:eastAsia="仿宋" w:cs="仿宋"/>
          <w:color w:val="auto"/>
          <w:spacing w:val="-2"/>
          <w:kern w:val="0"/>
          <w:sz w:val="34"/>
          <w:szCs w:val="34"/>
          <w:u w:val="none"/>
        </w:rPr>
        <w:t>改观。2019年</w:t>
      </w:r>
      <w:r>
        <w:rPr>
          <w:rFonts w:hint="eastAsia" w:ascii="仿宋" w:hAnsi="仿宋" w:eastAsia="仿宋" w:cs="仿宋"/>
          <w:color w:val="auto"/>
          <w:spacing w:val="-2"/>
          <w:kern w:val="0"/>
          <w:sz w:val="34"/>
          <w:szCs w:val="34"/>
          <w:u w:val="none"/>
          <w:lang w:eastAsia="zh-CN"/>
        </w:rPr>
        <w:t>我镇</w:t>
      </w:r>
      <w:r>
        <w:rPr>
          <w:rFonts w:hint="eastAsia" w:ascii="仿宋" w:hAnsi="仿宋" w:eastAsia="仿宋" w:cs="仿宋"/>
          <w:color w:val="auto"/>
          <w:spacing w:val="-2"/>
          <w:kern w:val="0"/>
          <w:sz w:val="34"/>
          <w:szCs w:val="34"/>
          <w:u w:val="none"/>
        </w:rPr>
        <w:t>获评广东省卫生镇。</w:t>
      </w:r>
      <w:r>
        <w:rPr>
          <w:rFonts w:hint="eastAsia" w:ascii="仿宋" w:hAnsi="仿宋" w:eastAsia="仿宋" w:cs="仿宋"/>
          <w:b/>
          <w:bCs/>
          <w:color w:val="auto"/>
          <w:sz w:val="34"/>
          <w:szCs w:val="34"/>
          <w:u w:val="none"/>
        </w:rPr>
        <w:t>乡村旅游</w:t>
      </w:r>
      <w:r>
        <w:rPr>
          <w:rFonts w:hint="eastAsia" w:ascii="仿宋" w:hAnsi="仿宋" w:eastAsia="仿宋" w:cs="仿宋"/>
          <w:b/>
          <w:bCs/>
          <w:color w:val="auto"/>
          <w:sz w:val="34"/>
          <w:szCs w:val="34"/>
          <w:u w:val="none"/>
          <w:lang w:eastAsia="zh-CN"/>
        </w:rPr>
        <w:t>亮点纷呈</w:t>
      </w:r>
      <w:r>
        <w:rPr>
          <w:rFonts w:hint="eastAsia" w:ascii="仿宋" w:hAnsi="仿宋" w:eastAsia="仿宋" w:cs="仿宋"/>
          <w:b/>
          <w:bCs/>
          <w:color w:val="auto"/>
          <w:sz w:val="34"/>
          <w:szCs w:val="34"/>
          <w:u w:val="none"/>
        </w:rPr>
        <w:t>。</w:t>
      </w:r>
      <w:r>
        <w:rPr>
          <w:rFonts w:hint="eastAsia" w:ascii="仿宋" w:hAnsi="仿宋" w:eastAsia="仿宋" w:cs="仿宋"/>
          <w:color w:val="auto"/>
          <w:sz w:val="34"/>
          <w:szCs w:val="34"/>
          <w:u w:val="none"/>
        </w:rPr>
        <w:t>投入200多万元打造独联大坑里乡村游示范点；举办“缤纷‘虾’节”“美丽乡村定向赛活动”“‘发现沙堆’特色美食旅游欢乐节”等全镇性乡村游活动，进一步</w:t>
      </w:r>
      <w:r>
        <w:rPr>
          <w:rFonts w:hint="eastAsia" w:ascii="仿宋" w:hAnsi="仿宋" w:eastAsia="仿宋" w:cs="仿宋"/>
          <w:color w:val="auto"/>
          <w:sz w:val="34"/>
          <w:szCs w:val="34"/>
          <w:u w:val="none"/>
          <w:lang w:eastAsia="zh-CN"/>
        </w:rPr>
        <w:t>深挖和推广</w:t>
      </w:r>
      <w:r>
        <w:rPr>
          <w:rFonts w:hint="eastAsia" w:ascii="仿宋" w:hAnsi="仿宋" w:eastAsia="仿宋" w:cs="仿宋"/>
          <w:color w:val="auto"/>
          <w:sz w:val="34"/>
          <w:szCs w:val="34"/>
          <w:u w:val="none"/>
        </w:rPr>
        <w:t>本地特色旅游资源。</w:t>
      </w:r>
    </w:p>
    <w:p>
      <w:pPr>
        <w:pageBreakBefore w:val="0"/>
        <w:kinsoku/>
        <w:wordWrap/>
        <w:overflowPunct/>
        <w:topLinePunct w:val="0"/>
        <w:bidi w:val="0"/>
        <w:snapToGrid/>
        <w:spacing w:line="600" w:lineRule="exact"/>
        <w:ind w:firstLine="680" w:firstLineChars="200"/>
        <w:textAlignment w:val="auto"/>
        <w:rPr>
          <w:rFonts w:hint="eastAsia" w:ascii="仿宋" w:hAnsi="仿宋" w:eastAsia="仿宋" w:cs="仿宋"/>
          <w:color w:val="auto"/>
          <w:sz w:val="34"/>
          <w:szCs w:val="34"/>
          <w:u w:val="none"/>
          <w:lang w:val="zh-CN"/>
        </w:rPr>
      </w:pPr>
      <w:r>
        <w:rPr>
          <w:rFonts w:hint="eastAsia" w:ascii="仿宋" w:hAnsi="仿宋" w:eastAsia="仿宋" w:cs="仿宋"/>
          <w:color w:val="auto"/>
          <w:sz w:val="34"/>
          <w:szCs w:val="34"/>
          <w:u w:val="none"/>
          <w:lang w:val="zh-CN"/>
        </w:rPr>
        <w:t>五年来，我们坚持携手共进奔小康，民生保障更加有力</w:t>
      </w:r>
    </w:p>
    <w:p>
      <w:pPr>
        <w:pageBreakBefore w:val="0"/>
        <w:kinsoku/>
        <w:wordWrap/>
        <w:overflowPunct/>
        <w:topLinePunct w:val="0"/>
        <w:bidi w:val="0"/>
        <w:snapToGrid/>
        <w:spacing w:line="600" w:lineRule="exact"/>
        <w:ind w:firstLine="600"/>
        <w:jc w:val="both"/>
        <w:textAlignment w:val="auto"/>
        <w:rPr>
          <w:rFonts w:hint="eastAsia" w:ascii="仿宋" w:hAnsi="仿宋" w:eastAsia="仿宋" w:cs="仿宋"/>
          <w:color w:val="auto"/>
          <w:sz w:val="34"/>
          <w:szCs w:val="34"/>
          <w:u w:val="none"/>
        </w:rPr>
      </w:pPr>
      <w:r>
        <w:rPr>
          <w:rFonts w:hint="eastAsia" w:ascii="仿宋" w:hAnsi="仿宋" w:eastAsia="仿宋" w:cs="仿宋"/>
          <w:b/>
          <w:color w:val="auto"/>
          <w:sz w:val="34"/>
          <w:szCs w:val="34"/>
          <w:u w:val="none"/>
          <w:lang w:val="zh-CN"/>
        </w:rPr>
        <w:t>疫情防控有序有力。</w:t>
      </w:r>
      <w:r>
        <w:rPr>
          <w:rFonts w:hint="eastAsia" w:ascii="仿宋" w:hAnsi="仿宋" w:eastAsia="仿宋" w:cs="仿宋"/>
          <w:color w:val="auto"/>
          <w:sz w:val="34"/>
          <w:szCs w:val="34"/>
          <w:u w:val="none"/>
        </w:rPr>
        <w:t>全镇开展近5.9万人次</w:t>
      </w:r>
      <w:r>
        <w:rPr>
          <w:rFonts w:hint="eastAsia" w:ascii="仿宋" w:hAnsi="仿宋" w:eastAsia="仿宋" w:cs="仿宋"/>
          <w:color w:val="auto"/>
          <w:sz w:val="34"/>
          <w:szCs w:val="34"/>
          <w:u w:val="none"/>
          <w:lang w:eastAsia="zh-CN"/>
        </w:rPr>
        <w:t>大规模</w:t>
      </w:r>
      <w:r>
        <w:rPr>
          <w:rFonts w:hint="eastAsia" w:ascii="仿宋" w:hAnsi="仿宋" w:eastAsia="仿宋" w:cs="仿宋"/>
          <w:color w:val="auto"/>
          <w:sz w:val="34"/>
          <w:szCs w:val="34"/>
          <w:u w:val="none"/>
        </w:rPr>
        <w:t>核酸检测，接种55620</w:t>
      </w:r>
      <w:r>
        <w:rPr>
          <w:rFonts w:hint="eastAsia" w:ascii="仿宋" w:hAnsi="仿宋" w:eastAsia="仿宋" w:cs="仿宋"/>
          <w:color w:val="auto"/>
          <w:sz w:val="34"/>
          <w:szCs w:val="34"/>
          <w:u w:val="none"/>
          <w:lang w:eastAsia="zh-CN"/>
        </w:rPr>
        <w:t>人次</w:t>
      </w:r>
      <w:r>
        <w:rPr>
          <w:rFonts w:hint="eastAsia" w:ascii="仿宋" w:hAnsi="仿宋" w:eastAsia="仿宋" w:cs="仿宋"/>
          <w:color w:val="auto"/>
          <w:sz w:val="34"/>
          <w:szCs w:val="34"/>
          <w:u w:val="none"/>
        </w:rPr>
        <w:t>，接种率达92.2%。实施“全科网格”精密智控，对境内外重点地区旅居史人员100%实现健康管理</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全镇疫情防控始终保持为低风险等级。</w:t>
      </w:r>
      <w:r>
        <w:rPr>
          <w:rFonts w:hint="eastAsia" w:ascii="仿宋" w:hAnsi="仿宋" w:eastAsia="仿宋" w:cs="仿宋"/>
          <w:b/>
          <w:color w:val="auto"/>
          <w:sz w:val="34"/>
          <w:szCs w:val="34"/>
          <w:u w:val="none"/>
        </w:rPr>
        <w:t>就业创业更加充分</w:t>
      </w:r>
      <w:r>
        <w:rPr>
          <w:rFonts w:hint="eastAsia" w:ascii="仿宋" w:hAnsi="仿宋" w:eastAsia="仿宋" w:cs="仿宋"/>
          <w:b/>
          <w:color w:val="auto"/>
          <w:sz w:val="34"/>
          <w:szCs w:val="34"/>
          <w:u w:val="none"/>
          <w:lang w:val="zh-CN"/>
        </w:rPr>
        <w:t>。</w:t>
      </w:r>
      <w:r>
        <w:rPr>
          <w:rFonts w:hint="eastAsia" w:ascii="仿宋" w:hAnsi="仿宋" w:eastAsia="仿宋" w:cs="仿宋"/>
          <w:bCs/>
          <w:color w:val="auto"/>
          <w:sz w:val="34"/>
          <w:szCs w:val="34"/>
          <w:u w:val="none"/>
        </w:rPr>
        <w:t>五年来</w:t>
      </w:r>
      <w:r>
        <w:rPr>
          <w:rFonts w:hint="eastAsia" w:ascii="仿宋" w:hAnsi="仿宋" w:eastAsia="仿宋" w:cs="仿宋"/>
          <w:color w:val="auto"/>
          <w:sz w:val="34"/>
          <w:szCs w:val="34"/>
          <w:u w:val="none"/>
          <w:lang w:val="zh-CN"/>
        </w:rPr>
        <w:t>新增就业1945人，城镇失业人员再就业1275人，城镇登记失业率控制在2.8%。开展“一对一”就业帮扶服务6328人次，成功推荐就业243人。</w:t>
      </w:r>
      <w:r>
        <w:rPr>
          <w:rFonts w:hint="eastAsia" w:ascii="仿宋" w:hAnsi="仿宋" w:eastAsia="仿宋" w:cs="仿宋"/>
          <w:b/>
          <w:color w:val="auto"/>
          <w:sz w:val="34"/>
          <w:szCs w:val="34"/>
          <w:u w:val="none"/>
        </w:rPr>
        <w:t>养老服务有力提升。</w:t>
      </w:r>
      <w:r>
        <w:rPr>
          <w:rFonts w:hint="eastAsia" w:ascii="仿宋" w:hAnsi="仿宋" w:eastAsia="仿宋" w:cs="仿宋"/>
          <w:color w:val="auto"/>
          <w:sz w:val="34"/>
          <w:szCs w:val="34"/>
          <w:u w:val="none"/>
        </w:rPr>
        <w:t>投入120多万元升级改造镇社会福利服务中心，14间农村老人之家升级改造为居家养老服务站。</w:t>
      </w:r>
      <w:r>
        <w:rPr>
          <w:rFonts w:hint="eastAsia" w:ascii="仿宋" w:hAnsi="仿宋" w:eastAsia="仿宋" w:cs="仿宋"/>
          <w:b/>
          <w:color w:val="auto"/>
          <w:sz w:val="34"/>
          <w:szCs w:val="34"/>
          <w:highlight w:val="none"/>
          <w:u w:val="none"/>
        </w:rPr>
        <w:t>社会治理不断夯实</w:t>
      </w:r>
      <w:r>
        <w:rPr>
          <w:rFonts w:hint="eastAsia" w:ascii="仿宋" w:hAnsi="仿宋" w:eastAsia="仿宋" w:cs="仿宋"/>
          <w:b/>
          <w:color w:val="auto"/>
          <w:sz w:val="34"/>
          <w:szCs w:val="34"/>
          <w:u w:val="none"/>
        </w:rPr>
        <w:t>。</w:t>
      </w:r>
      <w:r>
        <w:rPr>
          <w:rFonts w:hint="eastAsia" w:ascii="仿宋" w:hAnsi="仿宋" w:eastAsia="仿宋" w:cs="仿宋"/>
          <w:color w:val="auto"/>
          <w:sz w:val="34"/>
          <w:szCs w:val="34"/>
          <w:u w:val="none"/>
        </w:rPr>
        <w:t>刑事治安警情逐年下降，五年来行政案件和刑事案件同比下降51.4%、11.7%。扫黑除恶专项斗争向纵深推进，打掉1个涉黑组织、合力侦破42宗涉黑案件，群众安全感和满意度进一步提高。全面落实社区戒毒（康复）工作，实现人员无脱失漏管的工作目标。</w:t>
      </w:r>
      <w:r>
        <w:rPr>
          <w:rFonts w:hint="eastAsia" w:ascii="仿宋" w:hAnsi="仿宋" w:eastAsia="仿宋" w:cs="仿宋"/>
          <w:b/>
          <w:color w:val="auto"/>
          <w:sz w:val="34"/>
          <w:szCs w:val="34"/>
          <w:u w:val="none"/>
        </w:rPr>
        <w:t>安全防线更加巩固。</w:t>
      </w:r>
      <w:r>
        <w:rPr>
          <w:rFonts w:hint="eastAsia" w:ascii="仿宋" w:hAnsi="仿宋" w:eastAsia="仿宋" w:cs="仿宋"/>
          <w:color w:val="auto"/>
          <w:spacing w:val="-2"/>
          <w:kern w:val="0"/>
          <w:sz w:val="34"/>
          <w:szCs w:val="34"/>
          <w:u w:val="none"/>
        </w:rPr>
        <w:t>累计完成</w:t>
      </w:r>
      <w:r>
        <w:rPr>
          <w:rFonts w:hint="eastAsia" w:ascii="仿宋" w:hAnsi="仿宋" w:eastAsia="仿宋" w:cs="仿宋"/>
          <w:color w:val="auto"/>
          <w:spacing w:val="-2"/>
          <w:kern w:val="0"/>
          <w:sz w:val="34"/>
          <w:szCs w:val="34"/>
          <w:u w:val="none"/>
          <w:lang w:val="en-US" w:eastAsia="zh-CN"/>
        </w:rPr>
        <w:t>150宗</w:t>
      </w:r>
      <w:r>
        <w:rPr>
          <w:rFonts w:hint="eastAsia" w:ascii="仿宋" w:hAnsi="仿宋" w:eastAsia="仿宋" w:cs="仿宋"/>
          <w:color w:val="auto"/>
          <w:spacing w:val="-2"/>
          <w:kern w:val="0"/>
          <w:sz w:val="34"/>
          <w:szCs w:val="34"/>
          <w:u w:val="none"/>
        </w:rPr>
        <w:t>总投资6840.81万元的大小型水利工程，梅阁水库除险加固工程有序推进；新建5个森林防火蓄水池、更新造林400多亩，全力保障“三防”安全。安全生产形势总体稳定，累计</w:t>
      </w:r>
      <w:r>
        <w:rPr>
          <w:rFonts w:hint="eastAsia" w:ascii="仿宋" w:hAnsi="仿宋" w:eastAsia="仿宋" w:cs="仿宋"/>
          <w:color w:val="auto"/>
          <w:spacing w:val="-2"/>
          <w:kern w:val="0"/>
          <w:sz w:val="34"/>
          <w:szCs w:val="34"/>
          <w:u w:val="none"/>
          <w:lang w:eastAsia="zh-CN"/>
        </w:rPr>
        <w:t>对企业</w:t>
      </w:r>
      <w:r>
        <w:rPr>
          <w:rFonts w:hint="eastAsia" w:ascii="仿宋" w:hAnsi="仿宋" w:eastAsia="仿宋" w:cs="仿宋"/>
          <w:color w:val="auto"/>
          <w:spacing w:val="-2"/>
          <w:kern w:val="0"/>
          <w:sz w:val="34"/>
          <w:szCs w:val="34"/>
          <w:u w:val="none"/>
        </w:rPr>
        <w:t>开展</w:t>
      </w:r>
      <w:r>
        <w:rPr>
          <w:rFonts w:hint="eastAsia" w:ascii="仿宋" w:hAnsi="仿宋" w:eastAsia="仿宋" w:cs="仿宋"/>
          <w:color w:val="auto"/>
          <w:spacing w:val="-2"/>
          <w:kern w:val="0"/>
          <w:sz w:val="34"/>
          <w:szCs w:val="34"/>
          <w:u w:val="none"/>
          <w:lang w:eastAsia="zh-CN"/>
        </w:rPr>
        <w:t>安全</w:t>
      </w:r>
      <w:r>
        <w:rPr>
          <w:rFonts w:hint="eastAsia" w:ascii="仿宋" w:hAnsi="仿宋" w:eastAsia="仿宋" w:cs="仿宋"/>
          <w:color w:val="auto"/>
          <w:spacing w:val="-2"/>
          <w:kern w:val="0"/>
          <w:sz w:val="34"/>
          <w:szCs w:val="34"/>
          <w:u w:val="none"/>
        </w:rPr>
        <w:t>生</w:t>
      </w:r>
      <w:r>
        <w:rPr>
          <w:rFonts w:hint="eastAsia" w:ascii="仿宋" w:hAnsi="仿宋" w:eastAsia="仿宋" w:cs="仿宋"/>
          <w:color w:val="auto"/>
          <w:sz w:val="34"/>
          <w:szCs w:val="34"/>
          <w:u w:val="none"/>
        </w:rPr>
        <w:t>产</w:t>
      </w:r>
      <w:r>
        <w:rPr>
          <w:rFonts w:hint="eastAsia" w:ascii="仿宋" w:hAnsi="仿宋" w:eastAsia="仿宋" w:cs="仿宋"/>
          <w:color w:val="auto"/>
          <w:sz w:val="34"/>
          <w:szCs w:val="34"/>
          <w:u w:val="none"/>
          <w:lang w:eastAsia="zh-CN"/>
        </w:rPr>
        <w:t>监督检查</w:t>
      </w:r>
      <w:r>
        <w:rPr>
          <w:rFonts w:hint="eastAsia" w:ascii="仿宋" w:hAnsi="仿宋" w:eastAsia="仿宋" w:cs="仿宋"/>
          <w:color w:val="auto"/>
          <w:sz w:val="34"/>
          <w:szCs w:val="34"/>
          <w:u w:val="none"/>
        </w:rPr>
        <w:t>1066家次，行政执法立案27宗，5年来未发生较大生产安全事故。扎实做好食品药品安全监管，累计</w:t>
      </w:r>
      <w:r>
        <w:rPr>
          <w:rFonts w:hint="eastAsia" w:ascii="仿宋" w:hAnsi="仿宋" w:eastAsia="仿宋" w:cs="仿宋"/>
          <w:color w:val="auto"/>
          <w:sz w:val="34"/>
          <w:szCs w:val="34"/>
          <w:u w:val="none"/>
          <w:lang w:eastAsia="zh-CN"/>
        </w:rPr>
        <w:t>开展检查</w:t>
      </w:r>
      <w:r>
        <w:rPr>
          <w:rFonts w:hint="eastAsia" w:ascii="仿宋" w:hAnsi="仿宋" w:eastAsia="仿宋" w:cs="仿宋"/>
          <w:color w:val="auto"/>
          <w:sz w:val="34"/>
          <w:szCs w:val="34"/>
          <w:u w:val="none"/>
        </w:rPr>
        <w:t>2528人次，立</w:t>
      </w:r>
      <w:r>
        <w:rPr>
          <w:rFonts w:hint="eastAsia" w:ascii="仿宋" w:hAnsi="仿宋" w:eastAsia="仿宋" w:cs="仿宋"/>
          <w:color w:val="auto"/>
          <w:spacing w:val="-2"/>
          <w:kern w:val="0"/>
          <w:sz w:val="34"/>
          <w:szCs w:val="34"/>
          <w:u w:val="none"/>
        </w:rPr>
        <w:t>案16宗。</w:t>
      </w:r>
      <w:r>
        <w:rPr>
          <w:rFonts w:hint="eastAsia" w:ascii="仿宋" w:hAnsi="仿宋" w:eastAsia="仿宋" w:cs="仿宋"/>
          <w:b/>
          <w:color w:val="auto"/>
          <w:spacing w:val="-2"/>
          <w:kern w:val="0"/>
          <w:sz w:val="34"/>
          <w:szCs w:val="34"/>
          <w:u w:val="none"/>
        </w:rPr>
        <w:t>社会事业均衡发展。</w:t>
      </w:r>
      <w:r>
        <w:rPr>
          <w:rFonts w:hint="eastAsia" w:ascii="仿宋" w:hAnsi="仿宋" w:eastAsia="仿宋" w:cs="仿宋"/>
          <w:color w:val="auto"/>
          <w:sz w:val="34"/>
          <w:szCs w:val="34"/>
          <w:u w:val="none"/>
        </w:rPr>
        <w:t>投入1300多万元建成镇文化大楼、文化广场，镇委党校、智能图书馆、李冠南纪念馆等一批党群服务场所投入使用，进一步丰富人民群众精神文化生活。投入2500</w:t>
      </w:r>
      <w:r>
        <w:rPr>
          <w:rFonts w:hint="eastAsia" w:ascii="仿宋" w:hAnsi="仿宋" w:eastAsia="仿宋" w:cs="仿宋"/>
          <w:color w:val="auto"/>
          <w:sz w:val="34"/>
          <w:szCs w:val="34"/>
          <w:u w:val="none"/>
          <w:lang w:eastAsia="zh-CN"/>
        </w:rPr>
        <w:t>多</w:t>
      </w:r>
      <w:r>
        <w:rPr>
          <w:rFonts w:hint="eastAsia" w:ascii="仿宋" w:hAnsi="仿宋" w:eastAsia="仿宋" w:cs="仿宋"/>
          <w:color w:val="auto"/>
          <w:sz w:val="34"/>
          <w:szCs w:val="34"/>
          <w:u w:val="none"/>
        </w:rPr>
        <w:t>万元升级改造镇卫生院、中心市场、梅阁市场和独联市场。全覆盖建成村（社区）社会服务工作室（心理咨询室）。镇退役军人服务站</w:t>
      </w:r>
      <w:r>
        <w:rPr>
          <w:rFonts w:hint="eastAsia" w:ascii="仿宋" w:hAnsi="仿宋" w:eastAsia="仿宋" w:cs="仿宋"/>
          <w:color w:val="auto"/>
          <w:spacing w:val="-2"/>
          <w:kern w:val="0"/>
          <w:sz w:val="34"/>
          <w:szCs w:val="34"/>
          <w:u w:val="none"/>
        </w:rPr>
        <w:t>被评为广东省首批五星级</w:t>
      </w:r>
      <w:r>
        <w:rPr>
          <w:rFonts w:hint="eastAsia" w:ascii="仿宋" w:hAnsi="仿宋" w:eastAsia="仿宋" w:cs="仿宋"/>
          <w:color w:val="auto"/>
          <w:sz w:val="34"/>
          <w:szCs w:val="34"/>
          <w:u w:val="none"/>
        </w:rPr>
        <w:t>退役军人服务站</w:t>
      </w:r>
      <w:r>
        <w:rPr>
          <w:rFonts w:hint="eastAsia" w:ascii="仿宋" w:hAnsi="仿宋" w:eastAsia="仿宋" w:cs="仿宋"/>
          <w:color w:val="auto"/>
          <w:spacing w:val="-2"/>
          <w:kern w:val="0"/>
          <w:sz w:val="34"/>
          <w:szCs w:val="34"/>
          <w:u w:val="none"/>
        </w:rPr>
        <w:t>。累计50多名适龄青年应征入伍</w:t>
      </w:r>
      <w:r>
        <w:rPr>
          <w:rFonts w:hint="eastAsia" w:ascii="仿宋" w:hAnsi="仿宋" w:eastAsia="仿宋" w:cs="仿宋"/>
          <w:color w:val="auto"/>
          <w:sz w:val="34"/>
          <w:szCs w:val="34"/>
          <w:u w:val="none"/>
        </w:rPr>
        <w:t>。</w:t>
      </w:r>
      <w:r>
        <w:rPr>
          <w:rFonts w:hint="eastAsia" w:ascii="仿宋" w:hAnsi="仿宋" w:eastAsia="仿宋" w:cs="仿宋"/>
          <w:color w:val="auto"/>
          <w:sz w:val="34"/>
          <w:szCs w:val="34"/>
          <w:highlight w:val="none"/>
          <w:u w:val="none"/>
        </w:rPr>
        <w:t>大力发展教育事业，投入</w:t>
      </w:r>
      <w:r>
        <w:rPr>
          <w:rFonts w:hint="eastAsia" w:ascii="仿宋" w:hAnsi="仿宋" w:eastAsia="仿宋" w:cs="仿宋"/>
          <w:color w:val="auto"/>
          <w:sz w:val="34"/>
          <w:szCs w:val="34"/>
          <w:highlight w:val="none"/>
          <w:u w:val="none"/>
          <w:lang w:val="en-US" w:eastAsia="zh-CN"/>
        </w:rPr>
        <w:t>2100多</w:t>
      </w:r>
      <w:r>
        <w:rPr>
          <w:rFonts w:hint="eastAsia" w:ascii="仿宋" w:hAnsi="仿宋" w:eastAsia="仿宋" w:cs="仿宋"/>
          <w:color w:val="auto"/>
          <w:sz w:val="34"/>
          <w:szCs w:val="34"/>
          <w:highlight w:val="none"/>
          <w:u w:val="none"/>
        </w:rPr>
        <w:t>万元完成独联学校</w:t>
      </w:r>
      <w:r>
        <w:rPr>
          <w:rFonts w:hint="eastAsia" w:ascii="仿宋" w:hAnsi="仿宋" w:cs="仿宋"/>
          <w:color w:val="auto"/>
          <w:sz w:val="34"/>
          <w:szCs w:val="34"/>
          <w:highlight w:val="none"/>
          <w:u w:val="none"/>
          <w:lang w:eastAsia="zh-CN"/>
        </w:rPr>
        <w:t>教学</w:t>
      </w:r>
      <w:bookmarkStart w:id="41" w:name="_GoBack"/>
      <w:bookmarkEnd w:id="41"/>
      <w:r>
        <w:rPr>
          <w:rFonts w:hint="eastAsia" w:ascii="仿宋" w:hAnsi="仿宋" w:eastAsia="仿宋" w:cs="仿宋"/>
          <w:color w:val="auto"/>
          <w:sz w:val="34"/>
          <w:szCs w:val="34"/>
          <w:highlight w:val="none"/>
          <w:u w:val="none"/>
        </w:rPr>
        <w:t>楼重建</w:t>
      </w:r>
      <w:r>
        <w:rPr>
          <w:rFonts w:hint="eastAsia" w:ascii="仿宋" w:hAnsi="仿宋" w:eastAsia="仿宋" w:cs="仿宋"/>
          <w:color w:val="auto"/>
          <w:sz w:val="34"/>
          <w:szCs w:val="34"/>
          <w:highlight w:val="none"/>
          <w:u w:val="none"/>
          <w:lang w:eastAsia="zh-CN"/>
        </w:rPr>
        <w:t>、升级改造全镇中小学校</w:t>
      </w:r>
      <w:r>
        <w:rPr>
          <w:rFonts w:hint="eastAsia" w:ascii="仿宋" w:hAnsi="仿宋" w:eastAsia="仿宋" w:cs="仿宋"/>
          <w:color w:val="auto"/>
          <w:sz w:val="34"/>
          <w:szCs w:val="34"/>
          <w:highlight w:val="none"/>
          <w:u w:val="none"/>
        </w:rPr>
        <w:t>监控、楼梯厕所</w:t>
      </w:r>
      <w:r>
        <w:rPr>
          <w:rFonts w:hint="eastAsia" w:ascii="仿宋" w:hAnsi="仿宋" w:eastAsia="仿宋" w:cs="仿宋"/>
          <w:color w:val="auto"/>
          <w:sz w:val="34"/>
          <w:szCs w:val="34"/>
          <w:highlight w:val="none"/>
          <w:u w:val="none"/>
          <w:lang w:eastAsia="zh-CN"/>
        </w:rPr>
        <w:t>、</w:t>
      </w:r>
      <w:r>
        <w:rPr>
          <w:rFonts w:hint="eastAsia" w:ascii="仿宋" w:hAnsi="仿宋" w:eastAsia="仿宋" w:cs="仿宋"/>
          <w:color w:val="auto"/>
          <w:sz w:val="34"/>
          <w:szCs w:val="34"/>
          <w:highlight w:val="none"/>
          <w:u w:val="none"/>
        </w:rPr>
        <w:t>服务设施设备</w:t>
      </w:r>
      <w:r>
        <w:rPr>
          <w:rFonts w:hint="eastAsia" w:ascii="仿宋" w:hAnsi="仿宋" w:eastAsia="仿宋" w:cs="仿宋"/>
          <w:color w:val="auto"/>
          <w:sz w:val="34"/>
          <w:szCs w:val="34"/>
          <w:highlight w:val="none"/>
          <w:u w:val="none"/>
          <w:lang w:eastAsia="zh-CN"/>
        </w:rPr>
        <w:t>等</w:t>
      </w:r>
      <w:r>
        <w:rPr>
          <w:rFonts w:hint="eastAsia" w:ascii="仿宋" w:hAnsi="仿宋" w:eastAsia="仿宋" w:cs="仿宋"/>
          <w:color w:val="auto"/>
          <w:sz w:val="34"/>
          <w:szCs w:val="34"/>
          <w:highlight w:val="none"/>
          <w:u w:val="none"/>
        </w:rPr>
        <w:t>。</w:t>
      </w:r>
      <w:r>
        <w:rPr>
          <w:rFonts w:hint="eastAsia" w:ascii="仿宋" w:hAnsi="仿宋" w:eastAsia="仿宋" w:cs="仿宋"/>
          <w:color w:val="auto"/>
          <w:sz w:val="34"/>
          <w:szCs w:val="34"/>
          <w:u w:val="none"/>
        </w:rPr>
        <w:t>充分发挥侨资源作用，疫情期间海内外侨胞累计捐资赠物50多万；梅阁、独联、那伏三家侨刊坚持定期发行。</w:t>
      </w:r>
    </w:p>
    <w:p>
      <w:pPr>
        <w:pStyle w:val="2"/>
        <w:rPr>
          <w:rFonts w:hint="eastAsia"/>
        </w:rPr>
      </w:pPr>
    </w:p>
    <w:p>
      <w:pPr>
        <w:pStyle w:val="4"/>
        <w:pageBreakBefore w:val="0"/>
        <w:numPr>
          <w:ilvl w:val="0"/>
          <w:numId w:val="2"/>
        </w:numPr>
        <w:kinsoku/>
        <w:wordWrap/>
        <w:overflowPunct/>
        <w:topLinePunct w:val="0"/>
        <w:bidi w:val="0"/>
        <w:snapToGrid/>
        <w:spacing w:before="0" w:after="0" w:line="600" w:lineRule="exact"/>
        <w:ind w:left="0" w:leftChars="0" w:firstLine="0" w:firstLineChars="0"/>
        <w:jc w:val="center"/>
        <w:textAlignment w:val="auto"/>
        <w:rPr>
          <w:rFonts w:hint="eastAsia" w:ascii="楷体" w:hAnsi="楷体" w:eastAsia="楷体" w:cs="楷体"/>
          <w:b w:val="0"/>
          <w:bCs w:val="0"/>
          <w:sz w:val="34"/>
          <w:szCs w:val="34"/>
        </w:rPr>
      </w:pPr>
      <w:bookmarkStart w:id="6" w:name="_Toc60738008"/>
      <w:bookmarkStart w:id="7" w:name="_Toc12500"/>
      <w:bookmarkStart w:id="8" w:name="_Toc61946311"/>
      <w:bookmarkStart w:id="9" w:name="_Toc28674"/>
      <w:bookmarkStart w:id="10" w:name="_Toc24131"/>
      <w:bookmarkStart w:id="11" w:name="_Toc16345"/>
      <w:r>
        <w:rPr>
          <w:rFonts w:hint="eastAsia" w:ascii="楷体" w:hAnsi="楷体" w:eastAsia="楷体" w:cs="楷体"/>
          <w:b w:val="0"/>
          <w:bCs w:val="0"/>
          <w:sz w:val="34"/>
          <w:szCs w:val="34"/>
        </w:rPr>
        <w:t>“十四五”时期发展形势</w:t>
      </w:r>
      <w:bookmarkEnd w:id="6"/>
      <w:bookmarkEnd w:id="7"/>
      <w:bookmarkEnd w:id="8"/>
      <w:bookmarkEnd w:id="9"/>
      <w:bookmarkEnd w:id="10"/>
      <w:bookmarkEnd w:id="11"/>
    </w:p>
    <w:p>
      <w:pPr>
        <w:numPr>
          <w:ilvl w:val="0"/>
          <w:numId w:val="0"/>
        </w:numPr>
        <w:ind w:leftChars="0"/>
        <w:rPr>
          <w:rFonts w:hint="eastAsia"/>
        </w:rPr>
      </w:pPr>
    </w:p>
    <w:p>
      <w:pPr>
        <w:keepNext w:val="0"/>
        <w:keepLines w:val="0"/>
        <w:pageBreakBefore w:val="0"/>
        <w:widowControl w:val="0"/>
        <w:kinsoku/>
        <w:wordWrap/>
        <w:overflowPunct/>
        <w:topLinePunct w:val="0"/>
        <w:bidi w:val="0"/>
        <w:adjustRightInd w:val="0"/>
        <w:snapToGrid/>
        <w:spacing w:line="600" w:lineRule="exact"/>
        <w:ind w:firstLine="672" w:firstLineChars="200"/>
        <w:textAlignment w:val="auto"/>
        <w:rPr>
          <w:rFonts w:hint="eastAsia" w:ascii="仿宋" w:hAnsi="仿宋" w:eastAsia="仿宋" w:cs="仿宋"/>
          <w:color w:val="auto"/>
          <w:spacing w:val="-2"/>
          <w:kern w:val="0"/>
          <w:sz w:val="34"/>
          <w:szCs w:val="34"/>
          <w:highlight w:val="none"/>
        </w:rPr>
      </w:pP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中国特色社会主义进入新时代，我国经济已由高速增长阶段转向高质量发展阶段，新一轮科技与产业革命的发展将引致大数据、云技术、互联网、物联网、智能终端等新一代基础设施的巨大投资需求，进而会直接提高经济增长速度。</w:t>
      </w:r>
      <w:r>
        <w:rPr>
          <w:rFonts w:hint="eastAsia" w:ascii="仿宋" w:hAnsi="仿宋" w:eastAsia="仿宋" w:cs="仿宋"/>
          <w:color w:val="auto"/>
          <w:spacing w:val="-2"/>
          <w:kern w:val="0"/>
          <w:sz w:val="34"/>
          <w:szCs w:val="34"/>
          <w:highlight w:val="none"/>
          <w:lang w:eastAsia="zh-CN"/>
        </w:rPr>
        <w:t>但同时世界经济面临的不确定性较多，受国际贸易保护主义及出现的逆全球化的影响，加快核心技术的研发及健全产业链成为确保经济高质量发展的基础</w:t>
      </w:r>
      <w:r>
        <w:rPr>
          <w:rFonts w:hint="eastAsia" w:ascii="仿宋" w:hAnsi="仿宋" w:eastAsia="仿宋" w:cs="仿宋"/>
          <w:color w:val="auto"/>
          <w:spacing w:val="-2"/>
          <w:kern w:val="0"/>
          <w:sz w:val="34"/>
          <w:szCs w:val="34"/>
          <w:highlight w:val="none"/>
        </w:rPr>
        <w:t>。给合我镇主要产业情况，分析如下：</w:t>
      </w:r>
    </w:p>
    <w:p>
      <w:pPr>
        <w:keepNext w:val="0"/>
        <w:keepLines w:val="0"/>
        <w:pageBreakBefore w:val="0"/>
        <w:widowControl w:val="0"/>
        <w:kinsoku/>
        <w:wordWrap/>
        <w:overflowPunct/>
        <w:topLinePunct w:val="0"/>
        <w:bidi w:val="0"/>
        <w:adjustRightInd w:val="0"/>
        <w:snapToGrid/>
        <w:spacing w:line="600" w:lineRule="exact"/>
        <w:ind w:firstLine="675" w:firstLineChars="200"/>
        <w:textAlignment w:val="auto"/>
        <w:rPr>
          <w:rFonts w:hint="eastAsia" w:ascii="仿宋" w:hAnsi="仿宋" w:eastAsia="仿宋" w:cs="仿宋"/>
          <w:color w:val="auto"/>
          <w:spacing w:val="-2"/>
          <w:kern w:val="0"/>
          <w:sz w:val="34"/>
          <w:szCs w:val="34"/>
          <w:highlight w:val="none"/>
        </w:rPr>
      </w:pPr>
      <w:r>
        <w:rPr>
          <w:rFonts w:hint="eastAsia" w:ascii="楷体" w:hAnsi="楷体" w:eastAsia="楷体" w:cs="楷体"/>
          <w:b/>
          <w:bCs/>
          <w:color w:val="auto"/>
          <w:spacing w:val="-2"/>
          <w:kern w:val="0"/>
          <w:sz w:val="34"/>
          <w:szCs w:val="34"/>
          <w:highlight w:val="none"/>
        </w:rPr>
        <w:t>（一）</w:t>
      </w:r>
      <w:r>
        <w:rPr>
          <w:rFonts w:hint="eastAsia" w:ascii="楷体" w:hAnsi="楷体" w:eastAsia="楷体" w:cs="楷体"/>
          <w:b/>
          <w:bCs/>
          <w:color w:val="auto"/>
          <w:spacing w:val="-2"/>
          <w:kern w:val="0"/>
          <w:sz w:val="34"/>
          <w:szCs w:val="34"/>
          <w:highlight w:val="none"/>
          <w:lang w:eastAsia="zh-CN"/>
        </w:rPr>
        <w:t>船舶海工</w:t>
      </w:r>
      <w:r>
        <w:rPr>
          <w:rFonts w:hint="eastAsia" w:ascii="楷体" w:hAnsi="楷体" w:eastAsia="楷体" w:cs="楷体"/>
          <w:b/>
          <w:bCs/>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“十三五”</w:t>
      </w:r>
      <w:r>
        <w:rPr>
          <w:rFonts w:hint="eastAsia" w:ascii="仿宋" w:hAnsi="仿宋" w:eastAsia="仿宋" w:cs="仿宋"/>
          <w:color w:val="auto"/>
          <w:spacing w:val="-2"/>
          <w:kern w:val="0"/>
          <w:sz w:val="34"/>
          <w:szCs w:val="34"/>
          <w:highlight w:val="none"/>
        </w:rPr>
        <w:t>期间，受国际局势和经济环境影响，</w:t>
      </w:r>
      <w:r>
        <w:rPr>
          <w:rFonts w:hint="eastAsia" w:ascii="仿宋" w:hAnsi="仿宋" w:eastAsia="仿宋" w:cs="仿宋"/>
          <w:color w:val="auto"/>
          <w:spacing w:val="-2"/>
          <w:kern w:val="0"/>
          <w:sz w:val="34"/>
          <w:szCs w:val="34"/>
          <w:highlight w:val="none"/>
          <w:lang w:eastAsia="zh-CN"/>
        </w:rPr>
        <w:t>船舶产业的产能过剩</w:t>
      </w:r>
      <w:r>
        <w:rPr>
          <w:rFonts w:hint="eastAsia" w:ascii="仿宋" w:hAnsi="仿宋" w:eastAsia="仿宋" w:cs="仿宋"/>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导致船舶产业总体低迷，</w:t>
      </w:r>
      <w:r>
        <w:rPr>
          <w:rFonts w:hint="eastAsia" w:ascii="仿宋" w:hAnsi="仿宋" w:eastAsia="仿宋" w:cs="仿宋"/>
          <w:color w:val="auto"/>
          <w:spacing w:val="-2"/>
          <w:kern w:val="0"/>
          <w:sz w:val="34"/>
          <w:szCs w:val="34"/>
          <w:highlight w:val="none"/>
        </w:rPr>
        <w:t>20</w:t>
      </w:r>
      <w:r>
        <w:rPr>
          <w:rFonts w:hint="eastAsia" w:ascii="仿宋" w:hAnsi="仿宋" w:eastAsia="仿宋" w:cs="仿宋"/>
          <w:color w:val="auto"/>
          <w:spacing w:val="-2"/>
          <w:kern w:val="0"/>
          <w:sz w:val="34"/>
          <w:szCs w:val="34"/>
          <w:highlight w:val="none"/>
          <w:lang w:val="en-US" w:eastAsia="zh-CN"/>
        </w:rPr>
        <w:t>20</w:t>
      </w:r>
      <w:r>
        <w:rPr>
          <w:rFonts w:hint="eastAsia" w:ascii="仿宋" w:hAnsi="仿宋" w:eastAsia="仿宋" w:cs="仿宋"/>
          <w:color w:val="auto"/>
          <w:spacing w:val="-2"/>
          <w:kern w:val="0"/>
          <w:sz w:val="34"/>
          <w:szCs w:val="34"/>
          <w:highlight w:val="none"/>
        </w:rPr>
        <w:t>年预测产值</w:t>
      </w:r>
      <w:r>
        <w:rPr>
          <w:rFonts w:hint="eastAsia" w:ascii="仿宋" w:hAnsi="仿宋" w:eastAsia="仿宋" w:cs="仿宋"/>
          <w:color w:val="auto"/>
          <w:spacing w:val="-2"/>
          <w:kern w:val="0"/>
          <w:sz w:val="34"/>
          <w:szCs w:val="34"/>
          <w:highlight w:val="none"/>
          <w:lang w:eastAsia="zh-CN"/>
        </w:rPr>
        <w:t>对比</w:t>
      </w:r>
      <w:r>
        <w:rPr>
          <w:rFonts w:hint="eastAsia" w:ascii="仿宋" w:hAnsi="仿宋" w:eastAsia="仿宋" w:cs="仿宋"/>
          <w:color w:val="auto"/>
          <w:spacing w:val="-2"/>
          <w:kern w:val="0"/>
          <w:sz w:val="34"/>
          <w:szCs w:val="34"/>
          <w:highlight w:val="none"/>
          <w:lang w:val="en-US" w:eastAsia="zh-CN"/>
        </w:rPr>
        <w:t>2015年</w:t>
      </w:r>
      <w:r>
        <w:rPr>
          <w:rFonts w:hint="eastAsia" w:ascii="仿宋" w:hAnsi="仿宋" w:eastAsia="仿宋" w:cs="仿宋"/>
          <w:color w:val="auto"/>
          <w:spacing w:val="-2"/>
          <w:kern w:val="0"/>
          <w:sz w:val="34"/>
          <w:szCs w:val="34"/>
          <w:highlight w:val="none"/>
        </w:rPr>
        <w:t>下降</w:t>
      </w:r>
      <w:r>
        <w:rPr>
          <w:rFonts w:hint="eastAsia" w:ascii="仿宋" w:hAnsi="仿宋" w:eastAsia="仿宋" w:cs="仿宋"/>
          <w:color w:val="auto"/>
          <w:spacing w:val="-2"/>
          <w:kern w:val="0"/>
          <w:sz w:val="34"/>
          <w:szCs w:val="34"/>
          <w:highlight w:val="none"/>
          <w:lang w:val="en-US" w:eastAsia="zh-CN"/>
        </w:rPr>
        <w:t>40</w:t>
      </w:r>
      <w:r>
        <w:rPr>
          <w:rFonts w:hint="eastAsia" w:ascii="仿宋" w:hAnsi="仿宋" w:eastAsia="仿宋" w:cs="仿宋"/>
          <w:color w:val="auto"/>
          <w:spacing w:val="-2"/>
          <w:kern w:val="0"/>
          <w:sz w:val="34"/>
          <w:szCs w:val="34"/>
          <w:highlight w:val="none"/>
        </w:rPr>
        <w:t>%。预测</w:t>
      </w: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期间，国际经济</w:t>
      </w:r>
      <w:r>
        <w:rPr>
          <w:rFonts w:hint="eastAsia" w:ascii="仿宋" w:hAnsi="仿宋" w:eastAsia="仿宋" w:cs="仿宋"/>
          <w:color w:val="auto"/>
          <w:spacing w:val="-2"/>
          <w:kern w:val="0"/>
          <w:sz w:val="34"/>
          <w:szCs w:val="34"/>
          <w:highlight w:val="none"/>
          <w:lang w:eastAsia="zh-CN"/>
        </w:rPr>
        <w:t>将缓慢复苏</w:t>
      </w:r>
      <w:r>
        <w:rPr>
          <w:rFonts w:hint="eastAsia" w:ascii="仿宋" w:hAnsi="仿宋" w:eastAsia="仿宋" w:cs="仿宋"/>
          <w:color w:val="auto"/>
          <w:spacing w:val="-2"/>
          <w:kern w:val="0"/>
          <w:sz w:val="34"/>
          <w:szCs w:val="34"/>
          <w:highlight w:val="none"/>
        </w:rPr>
        <w:t>，船舶需求将逐步上升，</w:t>
      </w:r>
      <w:r>
        <w:rPr>
          <w:rFonts w:hint="eastAsia" w:ascii="仿宋" w:hAnsi="仿宋" w:eastAsia="仿宋" w:cs="仿宋"/>
          <w:color w:val="auto"/>
          <w:spacing w:val="-2"/>
          <w:kern w:val="0"/>
          <w:sz w:val="34"/>
          <w:szCs w:val="34"/>
          <w:highlight w:val="none"/>
          <w:lang w:eastAsia="zh-CN"/>
        </w:rPr>
        <w:t>船舶海工</w:t>
      </w:r>
      <w:r>
        <w:rPr>
          <w:rFonts w:hint="eastAsia" w:ascii="仿宋" w:hAnsi="仿宋" w:eastAsia="仿宋" w:cs="仿宋"/>
          <w:color w:val="auto"/>
          <w:spacing w:val="-2"/>
          <w:kern w:val="0"/>
          <w:sz w:val="34"/>
          <w:szCs w:val="34"/>
          <w:highlight w:val="none"/>
        </w:rPr>
        <w:t>行业将</w:t>
      </w:r>
      <w:r>
        <w:rPr>
          <w:rFonts w:hint="eastAsia" w:ascii="仿宋" w:hAnsi="仿宋" w:eastAsia="仿宋" w:cs="仿宋"/>
          <w:color w:val="auto"/>
          <w:spacing w:val="-2"/>
          <w:kern w:val="0"/>
          <w:sz w:val="34"/>
          <w:szCs w:val="34"/>
          <w:highlight w:val="none"/>
          <w:lang w:eastAsia="zh-CN"/>
        </w:rPr>
        <w:t>进入反弹回升阶段</w:t>
      </w:r>
      <w:r>
        <w:rPr>
          <w:rFonts w:hint="eastAsia" w:ascii="仿宋" w:hAnsi="仿宋" w:eastAsia="仿宋" w:cs="仿宋"/>
          <w:color w:val="auto"/>
          <w:spacing w:val="-2"/>
          <w:kern w:val="0"/>
          <w:sz w:val="34"/>
          <w:szCs w:val="34"/>
          <w:highlight w:val="none"/>
        </w:rPr>
        <w:t>。</w:t>
      </w:r>
    </w:p>
    <w:p>
      <w:pPr>
        <w:keepNext w:val="0"/>
        <w:keepLines w:val="0"/>
        <w:pageBreakBefore w:val="0"/>
        <w:widowControl w:val="0"/>
        <w:kinsoku/>
        <w:wordWrap/>
        <w:overflowPunct/>
        <w:topLinePunct w:val="0"/>
        <w:bidi w:val="0"/>
        <w:adjustRightInd w:val="0"/>
        <w:snapToGrid/>
        <w:spacing w:line="600" w:lineRule="exact"/>
        <w:ind w:firstLine="672" w:firstLineChars="200"/>
        <w:textAlignment w:val="auto"/>
        <w:rPr>
          <w:rFonts w:hint="eastAsia" w:ascii="仿宋" w:hAnsi="仿宋" w:eastAsia="仿宋" w:cs="仿宋"/>
          <w:color w:val="auto"/>
          <w:spacing w:val="-2"/>
          <w:kern w:val="0"/>
          <w:sz w:val="34"/>
          <w:szCs w:val="34"/>
          <w:highlight w:val="none"/>
          <w:lang w:val="en-US" w:eastAsia="zh-CN"/>
        </w:rPr>
      </w:pPr>
      <w:r>
        <w:rPr>
          <w:rFonts w:hint="eastAsia" w:ascii="仿宋" w:hAnsi="仿宋" w:eastAsia="仿宋" w:cs="仿宋"/>
          <w:color w:val="auto"/>
          <w:spacing w:val="-2"/>
          <w:kern w:val="0"/>
          <w:sz w:val="34"/>
          <w:szCs w:val="34"/>
          <w:highlight w:val="none"/>
          <w:lang w:eastAsia="zh-CN"/>
        </w:rPr>
        <w:t>“十三五”</w:t>
      </w:r>
      <w:r>
        <w:rPr>
          <w:rFonts w:hint="eastAsia" w:ascii="仿宋" w:hAnsi="仿宋" w:eastAsia="仿宋" w:cs="仿宋"/>
          <w:color w:val="auto"/>
          <w:spacing w:val="-2"/>
          <w:kern w:val="0"/>
          <w:sz w:val="34"/>
          <w:szCs w:val="34"/>
          <w:highlight w:val="none"/>
        </w:rPr>
        <w:t>期间，</w:t>
      </w:r>
      <w:r>
        <w:rPr>
          <w:rFonts w:hint="eastAsia" w:ascii="仿宋" w:hAnsi="仿宋" w:eastAsia="仿宋" w:cs="仿宋"/>
          <w:color w:val="auto"/>
          <w:spacing w:val="-2"/>
          <w:kern w:val="0"/>
          <w:sz w:val="34"/>
          <w:szCs w:val="34"/>
          <w:highlight w:val="none"/>
          <w:lang w:eastAsia="zh-CN"/>
        </w:rPr>
        <w:t>由于不允许拆解进口旧船</w:t>
      </w:r>
      <w:r>
        <w:rPr>
          <w:rFonts w:hint="eastAsia" w:ascii="仿宋" w:hAnsi="仿宋" w:eastAsia="仿宋" w:cs="仿宋"/>
          <w:color w:val="auto"/>
          <w:spacing w:val="-2"/>
          <w:kern w:val="0"/>
          <w:sz w:val="34"/>
          <w:szCs w:val="34"/>
          <w:highlight w:val="none"/>
        </w:rPr>
        <w:t>，我镇银湖拆船</w:t>
      </w:r>
      <w:r>
        <w:rPr>
          <w:rFonts w:hint="eastAsia" w:ascii="仿宋" w:hAnsi="仿宋" w:eastAsia="仿宋" w:cs="仿宋"/>
          <w:color w:val="auto"/>
          <w:spacing w:val="-2"/>
          <w:kern w:val="0"/>
          <w:sz w:val="34"/>
          <w:szCs w:val="34"/>
          <w:highlight w:val="none"/>
          <w:lang w:eastAsia="zh-CN"/>
        </w:rPr>
        <w:t>基本处于半停产状态。新粤丰海工订单量逐年下降，</w:t>
      </w:r>
      <w:r>
        <w:rPr>
          <w:rFonts w:hint="eastAsia" w:ascii="仿宋" w:hAnsi="仿宋" w:eastAsia="仿宋" w:cs="仿宋"/>
          <w:color w:val="auto"/>
          <w:spacing w:val="-2"/>
          <w:kern w:val="0"/>
          <w:sz w:val="34"/>
          <w:szCs w:val="34"/>
          <w:highlight w:val="none"/>
          <w:lang w:val="en-US" w:eastAsia="zh-CN"/>
        </w:rPr>
        <w:t>2020年有所回升，而转型生产高端游艇的海星游艇公司逐步打造自有品牌，产值和品牌价值稳步提升</w:t>
      </w:r>
      <w:r>
        <w:rPr>
          <w:rFonts w:hint="eastAsia" w:ascii="仿宋" w:hAnsi="仿宋" w:eastAsia="仿宋" w:cs="仿宋"/>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期间，预测</w:t>
      </w:r>
      <w:r>
        <w:rPr>
          <w:rFonts w:hint="eastAsia" w:ascii="仿宋" w:hAnsi="仿宋" w:eastAsia="仿宋" w:cs="仿宋"/>
          <w:color w:val="auto"/>
          <w:spacing w:val="-2"/>
          <w:kern w:val="0"/>
          <w:sz w:val="34"/>
          <w:szCs w:val="34"/>
          <w:highlight w:val="none"/>
          <w:lang w:eastAsia="zh-CN"/>
        </w:rPr>
        <w:t>在粤港澳大湾区加速发展</w:t>
      </w:r>
      <w:r>
        <w:rPr>
          <w:rFonts w:hint="eastAsia" w:ascii="仿宋" w:hAnsi="仿宋" w:eastAsia="仿宋" w:cs="仿宋"/>
          <w:color w:val="auto"/>
          <w:spacing w:val="-2"/>
          <w:kern w:val="0"/>
          <w:sz w:val="34"/>
          <w:szCs w:val="34"/>
          <w:highlight w:val="none"/>
        </w:rPr>
        <w:t>的带动下，</w:t>
      </w:r>
      <w:r>
        <w:rPr>
          <w:rFonts w:hint="eastAsia" w:ascii="仿宋" w:hAnsi="仿宋" w:eastAsia="仿宋" w:cs="仿宋"/>
          <w:color w:val="auto"/>
          <w:spacing w:val="-2"/>
          <w:kern w:val="0"/>
          <w:sz w:val="34"/>
          <w:szCs w:val="34"/>
          <w:highlight w:val="none"/>
          <w:lang w:eastAsia="zh-CN"/>
        </w:rPr>
        <w:t>我镇依托港澳籍船舶维修基地的建设，进一步做大、做强、做优超级游艇，推进海洋工程装备建设，拓展水上运动装备，</w:t>
      </w:r>
      <w:r>
        <w:rPr>
          <w:rFonts w:hint="eastAsia" w:ascii="仿宋" w:hAnsi="仿宋" w:eastAsia="仿宋" w:cs="仿宋"/>
          <w:color w:val="auto"/>
          <w:spacing w:val="-2"/>
          <w:kern w:val="0"/>
          <w:sz w:val="34"/>
          <w:szCs w:val="34"/>
          <w:highlight w:val="none"/>
          <w:lang w:val="en-US" w:eastAsia="zh-CN"/>
        </w:rPr>
        <w:t>2022年船舶海工产业将得到高质量提升。</w:t>
      </w:r>
    </w:p>
    <w:p>
      <w:pPr>
        <w:keepNext w:val="0"/>
        <w:keepLines w:val="0"/>
        <w:pageBreakBefore w:val="0"/>
        <w:widowControl w:val="0"/>
        <w:kinsoku/>
        <w:wordWrap/>
        <w:overflowPunct/>
        <w:topLinePunct w:val="0"/>
        <w:bidi w:val="0"/>
        <w:adjustRightInd w:val="0"/>
        <w:snapToGrid/>
        <w:spacing w:line="600" w:lineRule="exact"/>
        <w:ind w:firstLine="675" w:firstLineChars="200"/>
        <w:textAlignment w:val="auto"/>
        <w:rPr>
          <w:rFonts w:hint="eastAsia" w:ascii="仿宋" w:hAnsi="仿宋" w:eastAsia="仿宋" w:cs="仿宋"/>
          <w:color w:val="auto"/>
          <w:spacing w:val="-2"/>
          <w:kern w:val="0"/>
          <w:sz w:val="34"/>
          <w:szCs w:val="34"/>
          <w:highlight w:val="none"/>
        </w:rPr>
      </w:pPr>
      <w:r>
        <w:rPr>
          <w:rFonts w:hint="eastAsia" w:ascii="楷体" w:hAnsi="楷体" w:eastAsia="楷体" w:cs="楷体"/>
          <w:b/>
          <w:bCs/>
          <w:color w:val="auto"/>
          <w:spacing w:val="-2"/>
          <w:kern w:val="0"/>
          <w:sz w:val="34"/>
          <w:szCs w:val="34"/>
          <w:highlight w:val="none"/>
        </w:rPr>
        <w:t>（二）纺织业。</w:t>
      </w:r>
      <w:r>
        <w:rPr>
          <w:rFonts w:hint="eastAsia" w:ascii="仿宋" w:hAnsi="仿宋" w:eastAsia="仿宋" w:cs="仿宋"/>
          <w:color w:val="auto"/>
          <w:spacing w:val="-2"/>
          <w:kern w:val="0"/>
          <w:sz w:val="34"/>
          <w:szCs w:val="34"/>
          <w:highlight w:val="none"/>
        </w:rPr>
        <w:t>近年来，纺织</w:t>
      </w:r>
      <w:r>
        <w:rPr>
          <w:rFonts w:hint="eastAsia" w:ascii="仿宋" w:hAnsi="仿宋" w:eastAsia="仿宋" w:cs="仿宋"/>
          <w:color w:val="auto"/>
          <w:spacing w:val="-2"/>
          <w:kern w:val="0"/>
          <w:sz w:val="34"/>
          <w:szCs w:val="34"/>
          <w:highlight w:val="none"/>
          <w:lang w:eastAsia="zh-CN"/>
        </w:rPr>
        <w:t>行业不断通过技术改造和加大环保投入力度，核心技术和生产效率得到很大的提升，“十三五”期间全镇规上纺织制衣企业由</w:t>
      </w:r>
      <w:r>
        <w:rPr>
          <w:rFonts w:hint="eastAsia" w:ascii="仿宋" w:hAnsi="仿宋" w:eastAsia="仿宋" w:cs="仿宋"/>
          <w:color w:val="auto"/>
          <w:spacing w:val="-2"/>
          <w:kern w:val="0"/>
          <w:sz w:val="34"/>
          <w:szCs w:val="34"/>
          <w:highlight w:val="none"/>
          <w:lang w:val="en-US" w:eastAsia="zh-CN"/>
        </w:rPr>
        <w:t>5家增长到8家。</w:t>
      </w:r>
      <w:r>
        <w:rPr>
          <w:rFonts w:hint="eastAsia" w:ascii="仿宋" w:hAnsi="仿宋" w:eastAsia="仿宋" w:cs="仿宋"/>
          <w:color w:val="auto"/>
          <w:spacing w:val="-2"/>
          <w:kern w:val="0"/>
          <w:sz w:val="34"/>
          <w:szCs w:val="34"/>
          <w:highlight w:val="none"/>
        </w:rPr>
        <w:t>预测</w:t>
      </w: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w:t>
      </w:r>
      <w:r>
        <w:rPr>
          <w:rFonts w:hint="eastAsia" w:ascii="仿宋" w:hAnsi="仿宋" w:eastAsia="仿宋" w:cs="仿宋"/>
          <w:color w:val="auto"/>
          <w:spacing w:val="-2"/>
          <w:kern w:val="0"/>
          <w:sz w:val="34"/>
          <w:szCs w:val="34"/>
          <w:highlight w:val="none"/>
          <w:lang w:eastAsia="zh-CN"/>
        </w:rPr>
        <w:t>纺织业将依托大数据及物联网销售加快发展</w:t>
      </w:r>
      <w:r>
        <w:rPr>
          <w:rFonts w:hint="eastAsia" w:ascii="仿宋" w:hAnsi="仿宋" w:eastAsia="仿宋" w:cs="仿宋"/>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目前我镇已有宝发服饰和裕和泰纺织两家企业试水网络直播带货新模式开拓新市场，新冠疫情席卷全球的大背景下，网上新零售的消费模式将逐步取代传统销售模式，为健全纺织产业链</w:t>
      </w:r>
      <w:r>
        <w:rPr>
          <w:rFonts w:hint="eastAsia" w:ascii="仿宋" w:hAnsi="仿宋" w:eastAsia="仿宋" w:cs="仿宋"/>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拟引入投资</w:t>
      </w:r>
      <w:r>
        <w:rPr>
          <w:rFonts w:hint="eastAsia" w:ascii="仿宋" w:hAnsi="仿宋" w:eastAsia="仿宋" w:cs="仿宋"/>
          <w:color w:val="auto"/>
          <w:spacing w:val="-2"/>
          <w:kern w:val="0"/>
          <w:sz w:val="34"/>
          <w:szCs w:val="34"/>
          <w:highlight w:val="none"/>
          <w:lang w:val="en-US" w:eastAsia="zh-CN"/>
        </w:rPr>
        <w:t>15亿元的小尔物联网纺织新材料产业园项目，该项目将在“十四五”期间建成，有效补齐我镇纺织产业链，推动</w:t>
      </w:r>
      <w:r>
        <w:rPr>
          <w:rFonts w:hint="eastAsia" w:ascii="仿宋" w:hAnsi="仿宋" w:eastAsia="仿宋" w:cs="仿宋"/>
          <w:color w:val="auto"/>
          <w:spacing w:val="-2"/>
          <w:kern w:val="0"/>
          <w:sz w:val="34"/>
          <w:szCs w:val="34"/>
          <w:highlight w:val="none"/>
        </w:rPr>
        <w:t>行业</w:t>
      </w: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w:t>
      </w:r>
      <w:r>
        <w:rPr>
          <w:rFonts w:hint="eastAsia" w:ascii="仿宋" w:hAnsi="仿宋" w:eastAsia="仿宋" w:cs="仿宋"/>
          <w:color w:val="auto"/>
          <w:spacing w:val="-2"/>
          <w:kern w:val="0"/>
          <w:sz w:val="34"/>
          <w:szCs w:val="34"/>
          <w:highlight w:val="none"/>
          <w:lang w:eastAsia="zh-CN"/>
        </w:rPr>
        <w:t>高质量发展</w:t>
      </w:r>
      <w:r>
        <w:rPr>
          <w:rFonts w:hint="eastAsia" w:ascii="仿宋" w:hAnsi="仿宋" w:eastAsia="仿宋" w:cs="仿宋"/>
          <w:color w:val="auto"/>
          <w:spacing w:val="-2"/>
          <w:kern w:val="0"/>
          <w:sz w:val="34"/>
          <w:szCs w:val="34"/>
          <w:highlight w:val="none"/>
        </w:rPr>
        <w:t>。</w:t>
      </w:r>
    </w:p>
    <w:p>
      <w:pPr>
        <w:keepNext w:val="0"/>
        <w:keepLines w:val="0"/>
        <w:pageBreakBefore w:val="0"/>
        <w:widowControl w:val="0"/>
        <w:kinsoku/>
        <w:wordWrap/>
        <w:overflowPunct/>
        <w:topLinePunct w:val="0"/>
        <w:bidi w:val="0"/>
        <w:adjustRightInd w:val="0"/>
        <w:snapToGrid/>
        <w:spacing w:line="600" w:lineRule="exact"/>
        <w:ind w:firstLine="675" w:firstLineChars="200"/>
        <w:textAlignment w:val="auto"/>
        <w:rPr>
          <w:rFonts w:hint="eastAsia" w:ascii="仿宋" w:hAnsi="仿宋" w:eastAsia="仿宋" w:cs="仿宋"/>
          <w:color w:val="auto"/>
          <w:spacing w:val="-2"/>
          <w:kern w:val="0"/>
          <w:sz w:val="34"/>
          <w:szCs w:val="34"/>
          <w:highlight w:val="none"/>
          <w:lang w:val="en-US" w:eastAsia="zh-CN"/>
        </w:rPr>
      </w:pPr>
      <w:r>
        <w:rPr>
          <w:rFonts w:hint="eastAsia" w:ascii="楷体" w:hAnsi="楷体" w:eastAsia="楷体" w:cs="楷体"/>
          <w:b/>
          <w:bCs/>
          <w:color w:val="auto"/>
          <w:spacing w:val="-2"/>
          <w:kern w:val="0"/>
          <w:sz w:val="34"/>
          <w:szCs w:val="34"/>
          <w:highlight w:val="none"/>
        </w:rPr>
        <w:t>（三）先进装备制造业。</w:t>
      </w:r>
      <w:r>
        <w:rPr>
          <w:rFonts w:hint="eastAsia" w:ascii="仿宋" w:hAnsi="仿宋" w:eastAsia="仿宋" w:cs="仿宋"/>
          <w:color w:val="auto"/>
          <w:spacing w:val="-2"/>
          <w:kern w:val="0"/>
          <w:sz w:val="34"/>
          <w:szCs w:val="34"/>
          <w:highlight w:val="none"/>
        </w:rPr>
        <w:t>随着富华集团的进驻，我镇先进装备制造业</w:t>
      </w:r>
      <w:r>
        <w:rPr>
          <w:rFonts w:hint="eastAsia" w:ascii="仿宋" w:hAnsi="仿宋" w:eastAsia="仿宋" w:cs="仿宋"/>
          <w:color w:val="auto"/>
          <w:spacing w:val="-2"/>
          <w:kern w:val="0"/>
          <w:sz w:val="34"/>
          <w:szCs w:val="34"/>
          <w:highlight w:val="none"/>
          <w:lang w:eastAsia="zh-CN"/>
        </w:rPr>
        <w:t>龙头企业</w:t>
      </w:r>
      <w:r>
        <w:rPr>
          <w:rFonts w:hint="eastAsia" w:ascii="仿宋" w:hAnsi="仿宋" w:eastAsia="仿宋" w:cs="仿宋"/>
          <w:color w:val="auto"/>
          <w:spacing w:val="-2"/>
          <w:kern w:val="0"/>
          <w:sz w:val="34"/>
          <w:szCs w:val="34"/>
          <w:highlight w:val="none"/>
        </w:rPr>
        <w:t>于</w:t>
      </w:r>
      <w:r>
        <w:rPr>
          <w:rFonts w:hint="eastAsia" w:ascii="仿宋" w:hAnsi="仿宋" w:eastAsia="仿宋" w:cs="仿宋"/>
          <w:color w:val="auto"/>
          <w:spacing w:val="-2"/>
          <w:kern w:val="0"/>
          <w:sz w:val="34"/>
          <w:szCs w:val="34"/>
          <w:highlight w:val="none"/>
          <w:lang w:eastAsia="zh-CN"/>
        </w:rPr>
        <w:t>“十三五”</w:t>
      </w:r>
      <w:r>
        <w:rPr>
          <w:rFonts w:hint="eastAsia" w:ascii="仿宋" w:hAnsi="仿宋" w:eastAsia="仿宋" w:cs="仿宋"/>
          <w:color w:val="auto"/>
          <w:spacing w:val="-2"/>
          <w:kern w:val="0"/>
          <w:sz w:val="34"/>
          <w:szCs w:val="34"/>
          <w:highlight w:val="none"/>
        </w:rPr>
        <w:t>期间迅速</w:t>
      </w:r>
      <w:r>
        <w:rPr>
          <w:rFonts w:hint="eastAsia" w:ascii="仿宋" w:hAnsi="仿宋" w:eastAsia="仿宋" w:cs="仿宋"/>
          <w:color w:val="auto"/>
          <w:spacing w:val="-2"/>
          <w:kern w:val="0"/>
          <w:sz w:val="34"/>
          <w:szCs w:val="34"/>
          <w:highlight w:val="none"/>
          <w:lang w:eastAsia="zh-CN"/>
        </w:rPr>
        <w:t>发展</w:t>
      </w:r>
      <w:r>
        <w:rPr>
          <w:rFonts w:hint="eastAsia" w:ascii="仿宋" w:hAnsi="仿宋" w:eastAsia="仿宋" w:cs="仿宋"/>
          <w:color w:val="auto"/>
          <w:spacing w:val="-2"/>
          <w:kern w:val="0"/>
          <w:sz w:val="34"/>
          <w:szCs w:val="34"/>
          <w:highlight w:val="none"/>
        </w:rPr>
        <w:t>，并进入高速建设阶段</w:t>
      </w:r>
      <w:r>
        <w:rPr>
          <w:rFonts w:hint="eastAsia" w:ascii="仿宋" w:hAnsi="仿宋" w:eastAsia="仿宋" w:cs="仿宋"/>
          <w:color w:val="auto"/>
          <w:spacing w:val="-2"/>
          <w:kern w:val="0"/>
          <w:sz w:val="34"/>
          <w:szCs w:val="34"/>
          <w:highlight w:val="none"/>
          <w:lang w:val="en-US" w:eastAsia="zh-CN"/>
        </w:rPr>
        <w:t>。</w:t>
      </w:r>
      <w:r>
        <w:rPr>
          <w:rFonts w:hint="eastAsia" w:ascii="仿宋" w:hAnsi="仿宋" w:eastAsia="仿宋" w:cs="仿宋"/>
          <w:color w:val="auto"/>
          <w:spacing w:val="-2"/>
          <w:kern w:val="0"/>
          <w:sz w:val="34"/>
          <w:szCs w:val="34"/>
          <w:highlight w:val="none"/>
          <w:lang w:eastAsia="zh-CN"/>
        </w:rPr>
        <w:t>“十四五”</w:t>
      </w:r>
      <w:r>
        <w:rPr>
          <w:rFonts w:hint="eastAsia" w:ascii="仿宋" w:hAnsi="仿宋" w:eastAsia="仿宋" w:cs="仿宋"/>
          <w:color w:val="auto"/>
          <w:spacing w:val="-2"/>
          <w:kern w:val="0"/>
          <w:sz w:val="34"/>
          <w:szCs w:val="34"/>
          <w:highlight w:val="none"/>
        </w:rPr>
        <w:t>期间，</w:t>
      </w:r>
      <w:r>
        <w:rPr>
          <w:rFonts w:hint="eastAsia" w:ascii="仿宋" w:hAnsi="仿宋" w:eastAsia="仿宋" w:cs="仿宋"/>
          <w:color w:val="auto"/>
          <w:spacing w:val="-2"/>
          <w:kern w:val="0"/>
          <w:sz w:val="34"/>
          <w:szCs w:val="34"/>
          <w:highlight w:val="none"/>
          <w:lang w:eastAsia="zh-CN"/>
        </w:rPr>
        <w:t>依托江珠高端产业集聚发展区和珠江西岸</w:t>
      </w:r>
      <w:r>
        <w:rPr>
          <w:rFonts w:hint="eastAsia" w:ascii="仿宋" w:hAnsi="仿宋" w:eastAsia="仿宋" w:cs="仿宋"/>
          <w:color w:val="auto"/>
          <w:spacing w:val="-2"/>
          <w:kern w:val="0"/>
          <w:sz w:val="34"/>
          <w:szCs w:val="34"/>
          <w:highlight w:val="none"/>
        </w:rPr>
        <w:t>先进装备制造产业带</w:t>
      </w:r>
      <w:r>
        <w:rPr>
          <w:rFonts w:hint="eastAsia" w:ascii="仿宋" w:hAnsi="仿宋" w:eastAsia="仿宋" w:cs="仿宋"/>
          <w:color w:val="auto"/>
          <w:spacing w:val="-2"/>
          <w:kern w:val="0"/>
          <w:sz w:val="34"/>
          <w:szCs w:val="34"/>
          <w:highlight w:val="none"/>
          <w:lang w:eastAsia="zh-CN"/>
        </w:rPr>
        <w:t>的建设</w:t>
      </w:r>
      <w:r>
        <w:rPr>
          <w:rFonts w:hint="eastAsia" w:ascii="仿宋" w:hAnsi="仿宋" w:eastAsia="仿宋" w:cs="仿宋"/>
          <w:color w:val="auto"/>
          <w:spacing w:val="-2"/>
          <w:kern w:val="0"/>
          <w:sz w:val="34"/>
          <w:szCs w:val="34"/>
          <w:highlight w:val="none"/>
        </w:rPr>
        <w:t>，</w:t>
      </w:r>
      <w:r>
        <w:rPr>
          <w:rFonts w:hint="eastAsia" w:ascii="仿宋" w:hAnsi="仿宋" w:eastAsia="仿宋" w:cs="仿宋"/>
          <w:color w:val="auto"/>
          <w:spacing w:val="-2"/>
          <w:kern w:val="0"/>
          <w:sz w:val="34"/>
          <w:szCs w:val="34"/>
          <w:highlight w:val="none"/>
          <w:lang w:eastAsia="zh-CN"/>
        </w:rPr>
        <w:t>延伸富华铸锻汽车配件产业链，加快机加工车间和轮毂车间的建设，力促富华铸锻“十四五”期间产值超</w:t>
      </w:r>
      <w:r>
        <w:rPr>
          <w:rFonts w:hint="eastAsia" w:ascii="仿宋" w:hAnsi="仿宋" w:eastAsia="仿宋" w:cs="仿宋"/>
          <w:color w:val="auto"/>
          <w:spacing w:val="-2"/>
          <w:kern w:val="0"/>
          <w:sz w:val="34"/>
          <w:szCs w:val="34"/>
          <w:highlight w:val="none"/>
          <w:lang w:val="en-US" w:eastAsia="zh-CN"/>
        </w:rPr>
        <w:t>20亿元，以富华集团为引领，打造新的经济增长极。</w:t>
      </w:r>
    </w:p>
    <w:p>
      <w:pPr>
        <w:keepNext w:val="0"/>
        <w:keepLines w:val="0"/>
        <w:pageBreakBefore w:val="0"/>
        <w:widowControl w:val="0"/>
        <w:kinsoku/>
        <w:wordWrap/>
        <w:overflowPunct/>
        <w:topLinePunct w:val="0"/>
        <w:bidi w:val="0"/>
        <w:adjustRightInd w:val="0"/>
        <w:snapToGrid/>
        <w:spacing w:line="600" w:lineRule="exact"/>
        <w:ind w:firstLine="675" w:firstLineChars="200"/>
        <w:textAlignment w:val="auto"/>
        <w:rPr>
          <w:rFonts w:hint="eastAsia" w:ascii="仿宋" w:hAnsi="仿宋" w:eastAsia="仿宋" w:cs="仿宋"/>
          <w:color w:val="auto"/>
          <w:spacing w:val="-2"/>
          <w:kern w:val="0"/>
          <w:sz w:val="34"/>
          <w:szCs w:val="34"/>
          <w:highlight w:val="none"/>
        </w:rPr>
      </w:pPr>
      <w:r>
        <w:rPr>
          <w:rFonts w:hint="eastAsia" w:ascii="楷体" w:hAnsi="楷体" w:eastAsia="楷体" w:cs="楷体"/>
          <w:b/>
          <w:bCs/>
          <w:color w:val="auto"/>
          <w:spacing w:val="-2"/>
          <w:kern w:val="0"/>
          <w:sz w:val="34"/>
          <w:szCs w:val="34"/>
          <w:highlight w:val="none"/>
          <w:lang w:val="en-US" w:eastAsia="zh-CN"/>
        </w:rPr>
        <w:t>（四）环保建材行业。</w:t>
      </w:r>
      <w:r>
        <w:rPr>
          <w:rFonts w:hint="eastAsia" w:ascii="仿宋" w:hAnsi="仿宋" w:eastAsia="仿宋" w:cs="仿宋"/>
          <w:color w:val="auto"/>
          <w:spacing w:val="-2"/>
          <w:kern w:val="0"/>
          <w:sz w:val="34"/>
          <w:szCs w:val="34"/>
          <w:highlight w:val="none"/>
          <w:lang w:val="en-US" w:eastAsia="zh-CN"/>
        </w:rPr>
        <w:t>“十三五”期间，我镇逐步发展环保建材产业，先后引进博森康体新材料项目、锦辉新型墙体材料项目、福鑫闽珠预应力混凝土排水管项目、广东三和高强度管桩等4个超亿元项目。预测“十四五”期间，国家将加大大基建的投入力度，借助粤港澳大湾区、银湖湾滨海新区的区们优势，环保建材行业发展空间巨大，随着新引进的环保建材项目的逐步投产，该产业产值将超15亿元，成为推动我镇经济发展新的增长点。</w:t>
      </w:r>
    </w:p>
    <w:p>
      <w:pPr>
        <w:pStyle w:val="3"/>
        <w:pageBreakBefore w:val="0"/>
        <w:kinsoku/>
        <w:wordWrap/>
        <w:overflowPunct/>
        <w:topLinePunct w:val="0"/>
        <w:bidi w:val="0"/>
        <w:snapToGrid/>
        <w:spacing w:before="0" w:after="0" w:line="600" w:lineRule="exact"/>
        <w:textAlignment w:val="auto"/>
        <w:rPr>
          <w:rFonts w:hint="eastAsia" w:ascii="黑体" w:hAnsi="黑体" w:eastAsia="黑体" w:cs="黑体"/>
          <w:b w:val="0"/>
          <w:bCs/>
          <w:sz w:val="34"/>
          <w:szCs w:val="34"/>
        </w:rPr>
      </w:pPr>
      <w:r>
        <w:rPr>
          <w:rFonts w:hint="eastAsia" w:ascii="仿宋" w:hAnsi="仿宋" w:eastAsia="仿宋" w:cs="仿宋"/>
          <w:sz w:val="34"/>
          <w:szCs w:val="34"/>
        </w:rPr>
        <w:br w:type="page"/>
      </w:r>
      <w:bookmarkStart w:id="12" w:name="_Toc29792"/>
      <w:bookmarkStart w:id="13" w:name="_Toc28315"/>
      <w:bookmarkStart w:id="14" w:name="_Toc15429"/>
      <w:bookmarkStart w:id="15" w:name="_Toc60738009"/>
      <w:bookmarkStart w:id="16" w:name="_Toc29596"/>
      <w:bookmarkStart w:id="17" w:name="_Toc14900"/>
      <w:bookmarkStart w:id="18" w:name="_Toc61946312"/>
      <w:r>
        <w:rPr>
          <w:rFonts w:hint="eastAsia" w:ascii="黑体" w:hAnsi="黑体" w:eastAsia="黑体" w:cs="黑体"/>
          <w:b w:val="0"/>
          <w:bCs/>
          <w:sz w:val="34"/>
          <w:szCs w:val="34"/>
        </w:rPr>
        <w:t>第二章 总体要求</w:t>
      </w:r>
      <w:bookmarkEnd w:id="12"/>
      <w:bookmarkEnd w:id="13"/>
      <w:bookmarkEnd w:id="14"/>
      <w:bookmarkEnd w:id="15"/>
      <w:bookmarkEnd w:id="16"/>
      <w:bookmarkEnd w:id="17"/>
      <w:bookmarkEnd w:id="18"/>
    </w:p>
    <w:p>
      <w:pPr>
        <w:rPr>
          <w:rFonts w:hint="eastAsia"/>
        </w:rPr>
      </w:pPr>
    </w:p>
    <w:p>
      <w:pPr>
        <w:pStyle w:val="4"/>
        <w:pageBreakBefore w:val="0"/>
        <w:numPr>
          <w:ilvl w:val="0"/>
          <w:numId w:val="3"/>
        </w:numPr>
        <w:kinsoku/>
        <w:wordWrap/>
        <w:overflowPunct/>
        <w:topLinePunct w:val="0"/>
        <w:bidi w:val="0"/>
        <w:snapToGrid/>
        <w:spacing w:before="0" w:after="0" w:line="600" w:lineRule="exact"/>
        <w:jc w:val="center"/>
        <w:textAlignment w:val="auto"/>
        <w:rPr>
          <w:rFonts w:hint="eastAsia" w:ascii="楷体" w:hAnsi="楷体" w:eastAsia="楷体" w:cs="楷体"/>
          <w:b w:val="0"/>
          <w:bCs w:val="0"/>
          <w:sz w:val="34"/>
          <w:szCs w:val="34"/>
        </w:rPr>
      </w:pPr>
      <w:bookmarkStart w:id="19" w:name="_Toc60738010"/>
      <w:bookmarkStart w:id="20" w:name="_Toc724"/>
      <w:bookmarkStart w:id="21" w:name="_Toc19448"/>
      <w:bookmarkStart w:id="22" w:name="_Toc61946313"/>
      <w:bookmarkStart w:id="23" w:name="_Toc22541"/>
      <w:bookmarkStart w:id="24" w:name="_Toc3225"/>
      <w:r>
        <w:rPr>
          <w:rFonts w:hint="eastAsia" w:ascii="楷体" w:hAnsi="楷体" w:eastAsia="楷体" w:cs="楷体"/>
          <w:b w:val="0"/>
          <w:bCs w:val="0"/>
          <w:sz w:val="34"/>
          <w:szCs w:val="34"/>
        </w:rPr>
        <w:t>指导思想</w:t>
      </w:r>
      <w:bookmarkEnd w:id="19"/>
      <w:bookmarkEnd w:id="20"/>
      <w:bookmarkEnd w:id="21"/>
      <w:bookmarkEnd w:id="22"/>
      <w:bookmarkEnd w:id="23"/>
      <w:bookmarkEnd w:id="24"/>
    </w:p>
    <w:p>
      <w:pPr>
        <w:numPr>
          <w:ilvl w:val="0"/>
          <w:numId w:val="0"/>
        </w:numPr>
        <w:rPr>
          <w:rFonts w:hint="eastAsia"/>
        </w:rPr>
      </w:pPr>
    </w:p>
    <w:p>
      <w:pPr>
        <w:keepNext w:val="0"/>
        <w:keepLines w:val="0"/>
        <w:pageBreakBefore w:val="0"/>
        <w:kinsoku/>
        <w:wordWrap/>
        <w:overflowPunct/>
        <w:topLinePunct w:val="0"/>
        <w:bidi w:val="0"/>
        <w:adjustRightInd w:val="0"/>
        <w:snapToGrid/>
        <w:spacing w:line="600" w:lineRule="exact"/>
        <w:ind w:left="0" w:leftChars="0" w:firstLine="680" w:firstLineChars="200"/>
        <w:jc w:val="both"/>
        <w:textAlignment w:val="auto"/>
        <w:rPr>
          <w:rFonts w:hint="eastAsia" w:ascii="仿宋" w:hAnsi="仿宋" w:eastAsia="仿宋" w:cs="仿宋"/>
          <w:color w:val="auto"/>
          <w:sz w:val="34"/>
          <w:szCs w:val="34"/>
          <w:highlight w:val="none"/>
          <w:lang w:val="en-US" w:eastAsia="zh-CN" w:bidi="ar"/>
        </w:rPr>
      </w:pPr>
      <w:r>
        <w:rPr>
          <w:rFonts w:hint="eastAsia" w:ascii="仿宋" w:hAnsi="仿宋" w:eastAsia="仿宋" w:cs="仿宋"/>
          <w:color w:val="auto"/>
          <w:sz w:val="34"/>
          <w:szCs w:val="34"/>
          <w:highlight w:val="none"/>
          <w:lang w:val="en-US" w:eastAsia="zh-CN" w:bidi="ar"/>
        </w:rPr>
        <w:t>高举中国特色社会主义伟大旗帜，深入贯彻党的十九大和十九届二中、三中、四中、五中、六中全会精神，坚持以马克思列宁主义、毛泽东思想、邓小平理论、“三个代表”重要思想、科学发展观、习近平新时代中国特色社会主义思想为指导，全面贯彻党的基本理论、基本路线、基本方略，深入贯彻落实习近平总书记对广东系列重要讲话和重要指示批示精神，统筹推进“五位一体”总体布局，协调推进“四个全面”战略布局，坚定不移贯彻新发展理念，坚持稳中求进总基调，以推动高质量发展为主题，以深化供给侧结构性改革为主线，以改革创新为根本动力，以满足人民日益增长的美好生活需要为根本目的，积极参与构建新发展格局，</w:t>
      </w:r>
      <w:r>
        <w:rPr>
          <w:rFonts w:hint="eastAsia" w:ascii="仿宋" w:hAnsi="仿宋" w:eastAsia="仿宋" w:cs="仿宋"/>
          <w:color w:val="auto"/>
          <w:kern w:val="2"/>
          <w:sz w:val="34"/>
          <w:szCs w:val="34"/>
          <w:u w:val="none"/>
          <w:lang w:val="en-US" w:eastAsia="zh-CN" w:bidi="ar-SA"/>
        </w:rPr>
        <w:t>紧紧围绕新会“建设江门‘首善之区’和当好江门高质量发展标杆”的发展定位，坚持工业立镇、产业强镇，以“一园一路三产业”为发展方向，以推动高质量发展为主题，主动融入大湾区西翼制造中心建设和全区大园区经济发展的一线战场，勇当全区建设“一园三中心”的主力军。</w:t>
      </w:r>
    </w:p>
    <w:p>
      <w:pPr>
        <w:pageBreakBefore w:val="0"/>
        <w:kinsoku/>
        <w:wordWrap/>
        <w:overflowPunct/>
        <w:topLinePunct w:val="0"/>
        <w:bidi w:val="0"/>
        <w:snapToGrid/>
        <w:spacing w:line="600" w:lineRule="exact"/>
        <w:ind w:firstLine="680" w:firstLineChars="200"/>
        <w:jc w:val="both"/>
        <w:textAlignment w:val="auto"/>
        <w:rPr>
          <w:rFonts w:hint="eastAsia" w:ascii="仿宋" w:hAnsi="仿宋" w:eastAsia="仿宋" w:cs="仿宋"/>
          <w:sz w:val="34"/>
          <w:szCs w:val="34"/>
        </w:rPr>
      </w:pPr>
    </w:p>
    <w:p>
      <w:pPr>
        <w:pStyle w:val="4"/>
        <w:pageBreakBefore w:val="0"/>
        <w:numPr>
          <w:ilvl w:val="0"/>
          <w:numId w:val="3"/>
        </w:numPr>
        <w:kinsoku/>
        <w:wordWrap/>
        <w:overflowPunct/>
        <w:topLinePunct w:val="0"/>
        <w:bidi w:val="0"/>
        <w:snapToGrid/>
        <w:spacing w:before="0" w:after="0" w:line="600" w:lineRule="exact"/>
        <w:ind w:left="0" w:leftChars="0" w:firstLine="0" w:firstLineChars="0"/>
        <w:jc w:val="center"/>
        <w:textAlignment w:val="auto"/>
        <w:rPr>
          <w:rFonts w:hint="eastAsia" w:ascii="楷体" w:hAnsi="楷体" w:eastAsia="楷体" w:cs="楷体"/>
          <w:b w:val="0"/>
          <w:bCs w:val="0"/>
          <w:sz w:val="34"/>
          <w:szCs w:val="34"/>
        </w:rPr>
      </w:pPr>
      <w:bookmarkStart w:id="25" w:name="_Toc24675"/>
      <w:bookmarkStart w:id="26" w:name="_Toc60738011"/>
      <w:bookmarkStart w:id="27" w:name="_Toc24359"/>
      <w:bookmarkStart w:id="28" w:name="_Toc61946314"/>
      <w:bookmarkStart w:id="29" w:name="_Toc29565"/>
      <w:bookmarkStart w:id="30" w:name="_Toc7622"/>
      <w:r>
        <w:rPr>
          <w:rFonts w:hint="eastAsia" w:ascii="楷体" w:hAnsi="楷体" w:eastAsia="楷体" w:cs="楷体"/>
          <w:b w:val="0"/>
          <w:bCs w:val="0"/>
          <w:sz w:val="34"/>
          <w:szCs w:val="34"/>
        </w:rPr>
        <w:t>基本原则</w:t>
      </w:r>
      <w:bookmarkEnd w:id="25"/>
      <w:bookmarkEnd w:id="26"/>
      <w:bookmarkEnd w:id="27"/>
      <w:bookmarkEnd w:id="28"/>
      <w:bookmarkEnd w:id="29"/>
      <w:bookmarkEnd w:id="30"/>
    </w:p>
    <w:p>
      <w:pPr>
        <w:numPr>
          <w:ilvl w:val="0"/>
          <w:numId w:val="0"/>
        </w:numPr>
        <w:ind w:leftChars="0"/>
        <w:rPr>
          <w:rFonts w:hint="eastAsia"/>
        </w:rPr>
      </w:pP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sz w:val="34"/>
          <w:szCs w:val="34"/>
        </w:rPr>
      </w:pPr>
      <w:bookmarkStart w:id="31" w:name="_Toc17536"/>
      <w:r>
        <w:rPr>
          <w:rFonts w:hint="eastAsia" w:ascii="仿宋" w:hAnsi="仿宋" w:eastAsia="仿宋" w:cs="仿宋"/>
          <w:b/>
          <w:bCs/>
          <w:sz w:val="34"/>
          <w:szCs w:val="34"/>
        </w:rPr>
        <w:t>——坚持党的全面领导。</w:t>
      </w:r>
      <w:r>
        <w:rPr>
          <w:rFonts w:hint="eastAsia" w:ascii="仿宋" w:hAnsi="仿宋" w:eastAsia="仿宋" w:cs="仿宋"/>
          <w:sz w:val="34"/>
          <w:szCs w:val="34"/>
        </w:rPr>
        <w:t>坚决维护习近平总书记党中央的核心、全党的核心地位，坚决维护党中央权威和集中统一领导，全面落实新时代党的建设总要求，坚持和完善党领导经济社会发展的体制机制，不断提高贯彻新发展理念、构建新发展格局能力和水平。推动全面从严治党向纵深发展、向基层延伸，坚定不移正风肃纪反腐，不断增强党的创造力、凝聚力、战斗力，为实现高质量发展提供根本保证。</w:t>
      </w: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sz w:val="34"/>
          <w:szCs w:val="34"/>
        </w:rPr>
      </w:pPr>
      <w:r>
        <w:rPr>
          <w:rFonts w:hint="eastAsia" w:ascii="仿宋" w:hAnsi="仿宋" w:eastAsia="仿宋" w:cs="仿宋"/>
          <w:b/>
          <w:bCs/>
          <w:sz w:val="34"/>
          <w:szCs w:val="34"/>
        </w:rPr>
        <w:t>——坚持以人民为中心。</w:t>
      </w:r>
      <w:r>
        <w:rPr>
          <w:rFonts w:hint="eastAsia" w:ascii="仿宋" w:hAnsi="仿宋" w:eastAsia="仿宋" w:cs="仿宋"/>
          <w:sz w:val="34"/>
          <w:szCs w:val="34"/>
        </w:rPr>
        <w:t>坚持人民主体地位，始终做到发展为了人民、发展依靠人民、发展成果由人民共享，维护人民根本利益，激发全镇人民的积极性、主动性、创造性，促进社会公平，增进民生福祉，推进教育强镇、文化强镇和平安</w:t>
      </w:r>
      <w:r>
        <w:rPr>
          <w:rFonts w:hint="eastAsia" w:ascii="仿宋" w:hAnsi="仿宋" w:eastAsia="仿宋" w:cs="仿宋"/>
          <w:sz w:val="34"/>
          <w:szCs w:val="34"/>
          <w:lang w:eastAsia="zh-CN"/>
        </w:rPr>
        <w:t>沙堆</w:t>
      </w:r>
      <w:r>
        <w:rPr>
          <w:rFonts w:hint="eastAsia" w:ascii="仿宋" w:hAnsi="仿宋" w:eastAsia="仿宋" w:cs="仿宋"/>
          <w:sz w:val="34"/>
          <w:szCs w:val="34"/>
        </w:rPr>
        <w:t>建设，不断增强人民群众的获得感、幸福感和安全感。</w:t>
      </w: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sz w:val="34"/>
          <w:szCs w:val="34"/>
        </w:rPr>
      </w:pPr>
      <w:r>
        <w:rPr>
          <w:rFonts w:hint="eastAsia" w:ascii="仿宋" w:hAnsi="仿宋" w:eastAsia="仿宋" w:cs="仿宋"/>
          <w:b/>
          <w:bCs/>
          <w:sz w:val="34"/>
          <w:szCs w:val="34"/>
        </w:rPr>
        <w:t>——坚持新发展理念。</w:t>
      </w:r>
      <w:r>
        <w:rPr>
          <w:rFonts w:hint="eastAsia" w:ascii="仿宋" w:hAnsi="仿宋" w:eastAsia="仿宋" w:cs="仿宋"/>
          <w:sz w:val="34"/>
          <w:szCs w:val="34"/>
        </w:rPr>
        <w:t>把新发展理念贯穿发展全过程和各领域，切实转变发展方式，推动质量变革、效率变革、动力变革，加快从要素驱动、投资规模驱动发展为主向以创新驱动发展为主转变，推动经济实现量的合理增长和质的稳步提升，实现更高质量、更有效率、更加公平、更可持续、更为安全的发展。</w:t>
      </w: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sz w:val="34"/>
          <w:szCs w:val="34"/>
        </w:rPr>
      </w:pPr>
      <w:r>
        <w:rPr>
          <w:rFonts w:hint="eastAsia" w:ascii="仿宋" w:hAnsi="仿宋" w:eastAsia="仿宋" w:cs="仿宋"/>
          <w:b/>
          <w:bCs/>
          <w:sz w:val="34"/>
          <w:szCs w:val="34"/>
        </w:rPr>
        <w:t>——坚持深化改革开放。</w:t>
      </w:r>
      <w:r>
        <w:rPr>
          <w:rFonts w:hint="eastAsia" w:ascii="仿宋" w:hAnsi="仿宋" w:eastAsia="仿宋" w:cs="仿宋"/>
          <w:sz w:val="34"/>
          <w:szCs w:val="34"/>
        </w:rPr>
        <w:t>坚定不移推进重要领域和关键环节改革，敢闯敢试、敢为人先，多策划战略战役性改革，多推动创造型引领型改革，强化有利于提高资源配置效率、有利于调动全社会积极性的重大改革举措。充分利用华侨华人资源，坚定不移扩大开放，持续增强发展动力和活力。</w:t>
      </w: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sz w:val="34"/>
          <w:szCs w:val="34"/>
        </w:rPr>
      </w:pPr>
      <w:r>
        <w:rPr>
          <w:rFonts w:hint="eastAsia" w:ascii="仿宋" w:hAnsi="仿宋" w:eastAsia="仿宋" w:cs="仿宋"/>
          <w:b/>
          <w:bCs/>
          <w:sz w:val="34"/>
          <w:szCs w:val="34"/>
        </w:rPr>
        <w:t>——坚持系统观念。</w:t>
      </w:r>
      <w:r>
        <w:rPr>
          <w:rFonts w:hint="eastAsia" w:ascii="仿宋" w:hAnsi="仿宋" w:eastAsia="仿宋" w:cs="仿宋"/>
          <w:sz w:val="34"/>
          <w:szCs w:val="34"/>
        </w:rPr>
        <w:t>加强前瞻性思考、全局性谋划、战略性布局、整体性推进，坚决服从全国、全省、全市、全区发展大局，坚持全镇一盘棋，更好发挥各级各方面积极性，办好发展和安全两件大事，着力固根基、扬优势、补短板、强弱项，注重防范化解重大风险挑战，实现发展质量、结构、规模、速度、效益、安全相统一。</w:t>
      </w:r>
    </w:p>
    <w:p>
      <w:pPr>
        <w:pStyle w:val="2"/>
        <w:rPr>
          <w:rFonts w:hint="eastAsia"/>
        </w:rPr>
      </w:pPr>
    </w:p>
    <w:bookmarkEnd w:id="31"/>
    <w:p>
      <w:pPr>
        <w:pStyle w:val="4"/>
        <w:pageBreakBefore w:val="0"/>
        <w:numPr>
          <w:ilvl w:val="0"/>
          <w:numId w:val="3"/>
        </w:numPr>
        <w:kinsoku/>
        <w:wordWrap/>
        <w:overflowPunct/>
        <w:topLinePunct w:val="0"/>
        <w:bidi w:val="0"/>
        <w:snapToGrid/>
        <w:spacing w:before="0" w:after="0" w:line="600" w:lineRule="exact"/>
        <w:ind w:left="0" w:leftChars="0" w:firstLine="0" w:firstLineChars="0"/>
        <w:jc w:val="center"/>
        <w:textAlignment w:val="auto"/>
        <w:rPr>
          <w:rFonts w:hint="eastAsia" w:ascii="楷体" w:hAnsi="楷体" w:eastAsia="楷体" w:cs="楷体"/>
          <w:b w:val="0"/>
          <w:bCs w:val="0"/>
          <w:sz w:val="34"/>
          <w:szCs w:val="34"/>
        </w:rPr>
      </w:pPr>
      <w:bookmarkStart w:id="32" w:name="_Toc15350"/>
      <w:bookmarkStart w:id="33" w:name="_Toc60738013"/>
      <w:bookmarkStart w:id="34" w:name="_Toc61946315"/>
      <w:bookmarkStart w:id="35" w:name="_Toc13809"/>
      <w:bookmarkStart w:id="36" w:name="_Toc29198"/>
      <w:bookmarkStart w:id="37" w:name="_Toc11185"/>
      <w:r>
        <w:rPr>
          <w:rFonts w:hint="eastAsia" w:ascii="楷体" w:hAnsi="楷体" w:eastAsia="楷体" w:cs="楷体"/>
          <w:b w:val="0"/>
          <w:bCs w:val="0"/>
          <w:sz w:val="34"/>
          <w:szCs w:val="34"/>
        </w:rPr>
        <w:t>主要目标</w:t>
      </w:r>
      <w:bookmarkEnd w:id="32"/>
      <w:bookmarkEnd w:id="33"/>
      <w:bookmarkEnd w:id="34"/>
      <w:bookmarkEnd w:id="35"/>
      <w:bookmarkEnd w:id="36"/>
      <w:bookmarkEnd w:id="37"/>
    </w:p>
    <w:p>
      <w:pPr>
        <w:numPr>
          <w:ilvl w:val="0"/>
          <w:numId w:val="0"/>
        </w:numPr>
        <w:ind w:leftChars="0"/>
        <w:rPr>
          <w:rFonts w:hint="eastAsia"/>
        </w:rPr>
      </w:pPr>
    </w:p>
    <w:p>
      <w:pPr>
        <w:pageBreakBefore w:val="0"/>
        <w:kinsoku/>
        <w:wordWrap/>
        <w:overflowPunct/>
        <w:topLinePunct w:val="0"/>
        <w:bidi w:val="0"/>
        <w:snapToGrid/>
        <w:spacing w:line="600" w:lineRule="exact"/>
        <w:ind w:firstLine="680" w:firstLineChars="200"/>
        <w:jc w:val="both"/>
        <w:textAlignment w:val="auto"/>
        <w:rPr>
          <w:rFonts w:hint="eastAsia" w:ascii="仿宋" w:hAnsi="仿宋" w:eastAsia="仿宋" w:cs="仿宋"/>
          <w:sz w:val="34"/>
          <w:szCs w:val="34"/>
        </w:rPr>
      </w:pPr>
      <w:r>
        <w:rPr>
          <w:rFonts w:hint="eastAsia" w:ascii="仿宋" w:hAnsi="仿宋" w:eastAsia="仿宋" w:cs="仿宋"/>
          <w:sz w:val="34"/>
          <w:szCs w:val="34"/>
        </w:rPr>
        <w:t>党的十九大提出了2035年基本实现社会主义现代化远景目标。展望2035年，</w:t>
      </w:r>
      <w:r>
        <w:rPr>
          <w:rFonts w:hint="eastAsia" w:ascii="仿宋" w:hAnsi="仿宋" w:eastAsia="仿宋" w:cs="仿宋"/>
          <w:sz w:val="34"/>
          <w:szCs w:val="34"/>
          <w:lang w:eastAsia="zh-CN"/>
        </w:rPr>
        <w:t>沙堆</w:t>
      </w:r>
      <w:r>
        <w:rPr>
          <w:rFonts w:hint="eastAsia" w:ascii="仿宋" w:hAnsi="仿宋" w:eastAsia="仿宋" w:cs="仿宋"/>
          <w:sz w:val="34"/>
          <w:szCs w:val="34"/>
        </w:rPr>
        <w:t>镇作为</w:t>
      </w:r>
      <w:r>
        <w:rPr>
          <w:rFonts w:hint="eastAsia" w:ascii="仿宋" w:hAnsi="仿宋" w:eastAsia="仿宋" w:cs="仿宋"/>
          <w:sz w:val="34"/>
          <w:szCs w:val="34"/>
          <w:lang w:eastAsia="zh-CN"/>
        </w:rPr>
        <w:t>粤港澳大湾区重要腹地</w:t>
      </w:r>
      <w:r>
        <w:rPr>
          <w:rFonts w:hint="eastAsia" w:ascii="仿宋" w:hAnsi="仿宋" w:eastAsia="仿宋" w:cs="仿宋"/>
          <w:sz w:val="34"/>
          <w:szCs w:val="34"/>
        </w:rPr>
        <w:t>，影响力和辐射作用更加凸显。经济高质量发展迈上新台阶，综合实力大幅跃升。科技创新能力明显提升，基本实现新型工业化、信息化、城镇化和农业现代化，建成现代化经济体系。全面深化改革不断实现新突破，开放型经济发展层次更高，构建法治化、市场化、国际化一流营商环境取得丰硕成果。城市品质内外兼修，乡村振兴取得决定性进展，基本公共服务实现均等化，城乡区域发展差距和居民生活水平差距显著缩小，成为宜居宜业宜游魅力城镇。基本实现社会治理体系和治理能力现代化，人民平等参与、平等发展权利得到充分保障，基本建成法治政府、法治社会。市民素质和社会文明程度达到新高度，社会主义物质文明和精神文明更加协调，城市文化软实力显著增强。基本实现人与自然和谐共生，绿色生产生活方式广泛形成，美丽</w:t>
      </w:r>
      <w:r>
        <w:rPr>
          <w:rFonts w:hint="eastAsia" w:ascii="仿宋" w:hAnsi="仿宋" w:eastAsia="仿宋" w:cs="仿宋"/>
          <w:sz w:val="34"/>
          <w:szCs w:val="34"/>
          <w:lang w:eastAsia="zh-CN"/>
        </w:rPr>
        <w:t>沙堆</w:t>
      </w:r>
      <w:r>
        <w:rPr>
          <w:rFonts w:hint="eastAsia" w:ascii="仿宋" w:hAnsi="仿宋" w:eastAsia="仿宋" w:cs="仿宋"/>
          <w:sz w:val="34"/>
          <w:szCs w:val="34"/>
        </w:rPr>
        <w:t>建设达到更高水平。群众对美好生活的需要得到更好满足，在更高水平上实现幼有所育、学有所教、劳有所得、病有所医、老有所养、住有所居、弱有所扶，人的全面发展、全体人民共同富裕取得更为明显的实质性进展。</w:t>
      </w:r>
    </w:p>
    <w:p>
      <w:pPr>
        <w:pageBreakBefore w:val="0"/>
        <w:kinsoku/>
        <w:wordWrap/>
        <w:overflowPunct/>
        <w:topLinePunct w:val="0"/>
        <w:bidi w:val="0"/>
        <w:adjustRightInd w:val="0"/>
        <w:snapToGrid/>
        <w:spacing w:line="600" w:lineRule="exact"/>
        <w:ind w:firstLine="683" w:firstLineChars="200"/>
        <w:textAlignment w:val="auto"/>
        <w:rPr>
          <w:rFonts w:hint="eastAsia" w:ascii="仿宋" w:hAnsi="仿宋" w:eastAsia="仿宋" w:cs="仿宋"/>
          <w:color w:val="auto"/>
          <w:sz w:val="34"/>
          <w:szCs w:val="34"/>
          <w:u w:val="none"/>
        </w:rPr>
      </w:pPr>
      <w:bookmarkStart w:id="38" w:name="_Toc32656"/>
      <w:bookmarkStart w:id="39" w:name="_Toc1322"/>
      <w:r>
        <w:rPr>
          <w:rFonts w:hint="eastAsia" w:ascii="仿宋" w:hAnsi="仿宋" w:eastAsia="仿宋" w:cs="仿宋"/>
          <w:b/>
          <w:bCs/>
          <w:color w:val="auto"/>
          <w:sz w:val="34"/>
          <w:szCs w:val="34"/>
          <w:u w:val="none"/>
        </w:rPr>
        <w:t>——经济保持中高速增长。</w:t>
      </w:r>
      <w:r>
        <w:rPr>
          <w:rFonts w:hint="eastAsia" w:ascii="仿宋" w:hAnsi="仿宋" w:eastAsia="仿宋" w:cs="仿宋"/>
          <w:color w:val="auto"/>
          <w:sz w:val="34"/>
          <w:szCs w:val="34"/>
          <w:u w:val="none"/>
        </w:rPr>
        <w:t>全镇规模以上工业总产值、地方公共财政预算收入、固定资产投资、社会消费品零售总额等主要经济指标年均增长分别达：10%、10%、5%、10%。先进制造业产值年均增长8%，增幅力争居于全区前列。</w:t>
      </w:r>
    </w:p>
    <w:p>
      <w:pPr>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——现代产业体系加快构建。</w:t>
      </w:r>
      <w:r>
        <w:rPr>
          <w:rFonts w:hint="eastAsia" w:ascii="仿宋" w:hAnsi="仿宋" w:eastAsia="仿宋" w:cs="仿宋"/>
          <w:color w:val="auto"/>
          <w:sz w:val="34"/>
          <w:szCs w:val="34"/>
          <w:u w:val="none"/>
        </w:rPr>
        <w:t>主动</w:t>
      </w:r>
      <w:r>
        <w:rPr>
          <w:rFonts w:hint="eastAsia" w:ascii="仿宋" w:hAnsi="仿宋" w:eastAsia="仿宋" w:cs="仿宋"/>
          <w:color w:val="auto"/>
          <w:sz w:val="34"/>
          <w:szCs w:val="34"/>
          <w:u w:val="none"/>
          <w:lang w:eastAsia="zh-CN"/>
        </w:rPr>
        <w:t>接收</w:t>
      </w:r>
      <w:r>
        <w:rPr>
          <w:rFonts w:hint="eastAsia" w:ascii="仿宋" w:hAnsi="仿宋" w:eastAsia="仿宋" w:cs="仿宋"/>
          <w:color w:val="auto"/>
          <w:sz w:val="34"/>
          <w:szCs w:val="34"/>
          <w:u w:val="none"/>
        </w:rPr>
        <w:t>“双区”、横琴、前海等重大平台建设的巨大辐射效应，抢抓省大型产业园区发展新机遇，加快融入大湾区建设，积极拓展工业发展新空间。坚定不移走工业立镇、产业强镇之路，培育壮大先进制造业集群，推动产业结构持续优化提升。</w:t>
      </w:r>
    </w:p>
    <w:p>
      <w:pPr>
        <w:pStyle w:val="11"/>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——社会文明风尚</w:t>
      </w:r>
      <w:r>
        <w:rPr>
          <w:rFonts w:hint="eastAsia" w:ascii="仿宋" w:hAnsi="仿宋" w:eastAsia="仿宋" w:cs="仿宋"/>
          <w:b/>
          <w:bCs/>
          <w:color w:val="auto"/>
          <w:sz w:val="34"/>
          <w:szCs w:val="34"/>
          <w:u w:val="none"/>
          <w:lang w:eastAsia="zh-CN"/>
        </w:rPr>
        <w:t>不断</w:t>
      </w:r>
      <w:r>
        <w:rPr>
          <w:rFonts w:hint="eastAsia" w:ascii="仿宋" w:hAnsi="仿宋" w:eastAsia="仿宋" w:cs="仿宋"/>
          <w:b/>
          <w:bCs/>
          <w:color w:val="auto"/>
          <w:sz w:val="34"/>
          <w:szCs w:val="34"/>
          <w:u w:val="none"/>
        </w:rPr>
        <w:t>提升。</w:t>
      </w:r>
      <w:r>
        <w:rPr>
          <w:rFonts w:hint="eastAsia" w:ascii="仿宋" w:hAnsi="仿宋" w:eastAsia="仿宋" w:cs="仿宋"/>
          <w:color w:val="auto"/>
          <w:sz w:val="34"/>
          <w:szCs w:val="34"/>
          <w:u w:val="none"/>
        </w:rPr>
        <w:t>推动社会主义核心价值观更加深入人心，常态化开展全国文明城市建设工作，向上向善、诚信互助的社会风尚得到广泛弘扬。社会公平正义进一步彰显，依法行政、依法执政同步推进，</w:t>
      </w:r>
      <w:r>
        <w:rPr>
          <w:rFonts w:hint="eastAsia" w:ascii="仿宋" w:hAnsi="仿宋" w:eastAsia="仿宋" w:cs="仿宋"/>
          <w:color w:val="auto"/>
          <w:sz w:val="34"/>
          <w:szCs w:val="34"/>
          <w:u w:val="none"/>
          <w:lang w:eastAsia="zh-CN"/>
        </w:rPr>
        <w:t>镇政府</w:t>
      </w:r>
      <w:r>
        <w:rPr>
          <w:rFonts w:hint="eastAsia" w:ascii="仿宋" w:hAnsi="仿宋" w:eastAsia="仿宋" w:cs="仿宋"/>
          <w:color w:val="auto"/>
          <w:sz w:val="34"/>
          <w:szCs w:val="34"/>
          <w:u w:val="none"/>
        </w:rPr>
        <w:t>行政效率和公信力显著提升。</w:t>
      </w:r>
    </w:p>
    <w:p>
      <w:pPr>
        <w:pStyle w:val="11"/>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——绿色发展动能持续增强。</w:t>
      </w:r>
      <w:r>
        <w:rPr>
          <w:rFonts w:hint="eastAsia" w:ascii="仿宋" w:hAnsi="仿宋" w:eastAsia="仿宋" w:cs="仿宋"/>
          <w:color w:val="auto"/>
          <w:kern w:val="2"/>
          <w:sz w:val="34"/>
          <w:szCs w:val="34"/>
          <w:u w:val="none"/>
          <w:lang w:val="en-US" w:eastAsia="zh-CN" w:bidi="ar-SA"/>
        </w:rPr>
        <w:t>构建清晰</w:t>
      </w:r>
      <w:r>
        <w:rPr>
          <w:rFonts w:hint="eastAsia" w:ascii="仿宋" w:hAnsi="仿宋" w:eastAsia="仿宋" w:cs="仿宋"/>
          <w:color w:val="auto"/>
          <w:sz w:val="34"/>
          <w:szCs w:val="34"/>
          <w:u w:val="none"/>
        </w:rPr>
        <w:t>合理、优势互补</w:t>
      </w:r>
      <w:r>
        <w:rPr>
          <w:rFonts w:hint="eastAsia" w:ascii="仿宋" w:hAnsi="仿宋" w:eastAsia="仿宋" w:cs="仿宋"/>
          <w:color w:val="auto"/>
          <w:sz w:val="34"/>
          <w:szCs w:val="34"/>
          <w:u w:val="none"/>
          <w:lang w:eastAsia="zh-CN"/>
        </w:rPr>
        <w:t>的</w:t>
      </w:r>
      <w:r>
        <w:rPr>
          <w:rFonts w:hint="eastAsia" w:ascii="仿宋" w:hAnsi="仿宋" w:eastAsia="仿宋" w:cs="仿宋"/>
          <w:color w:val="auto"/>
          <w:sz w:val="34"/>
          <w:szCs w:val="34"/>
          <w:u w:val="none"/>
        </w:rPr>
        <w:t>国土空间开发保护格局</w:t>
      </w:r>
      <w:r>
        <w:rPr>
          <w:rFonts w:hint="eastAsia" w:ascii="仿宋" w:hAnsi="仿宋" w:eastAsia="仿宋" w:cs="仿宋"/>
          <w:color w:val="auto"/>
          <w:sz w:val="34"/>
          <w:szCs w:val="34"/>
          <w:u w:val="none"/>
          <w:lang w:eastAsia="zh-CN"/>
        </w:rPr>
        <w:t>。加快推进淘汰落后产能，进一步盘活闲置用地资源</w:t>
      </w:r>
      <w:r>
        <w:rPr>
          <w:rFonts w:hint="eastAsia" w:ascii="仿宋" w:hAnsi="仿宋" w:eastAsia="仿宋" w:cs="仿宋"/>
          <w:color w:val="auto"/>
          <w:sz w:val="34"/>
          <w:szCs w:val="34"/>
          <w:u w:val="none"/>
        </w:rPr>
        <w:t>。持续改善生态环境质量。“碳达峰”有序推进。加强河湖林地的生态保护修复，打造宜居宜业宜游的城乡融合空间。</w:t>
      </w:r>
    </w:p>
    <w:p>
      <w:pPr>
        <w:pageBreakBefore w:val="0"/>
        <w:kinsoku/>
        <w:wordWrap/>
        <w:overflowPunct/>
        <w:topLinePunct w:val="0"/>
        <w:bidi w:val="0"/>
        <w:snapToGrid/>
        <w:spacing w:line="600" w:lineRule="exact"/>
        <w:ind w:firstLine="683" w:firstLineChars="200"/>
        <w:jc w:val="both"/>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——民生福祉更加殷实。</w:t>
      </w:r>
      <w:r>
        <w:rPr>
          <w:rFonts w:hint="eastAsia" w:ascii="仿宋" w:hAnsi="仿宋" w:eastAsia="仿宋" w:cs="仿宋"/>
          <w:color w:val="auto"/>
          <w:sz w:val="34"/>
          <w:szCs w:val="34"/>
          <w:u w:val="none"/>
        </w:rPr>
        <w:t>提高居民收入水平，落实保就业、稳就业工作。大力发展教育和卫生事业，提高全民文化知识和健康保障水平。积极应对人口老龄化，健全社会保障体系。乡村振兴战略全面推进，</w:t>
      </w:r>
      <w:r>
        <w:rPr>
          <w:rFonts w:hint="eastAsia" w:ascii="仿宋" w:hAnsi="仿宋" w:eastAsia="仿宋" w:cs="仿宋"/>
          <w:color w:val="auto"/>
          <w:sz w:val="34"/>
          <w:szCs w:val="34"/>
          <w:u w:val="none"/>
          <w:lang w:eastAsia="zh-CN"/>
        </w:rPr>
        <w:t>农</w:t>
      </w:r>
      <w:r>
        <w:rPr>
          <w:rFonts w:hint="eastAsia" w:ascii="仿宋" w:hAnsi="仿宋" w:eastAsia="仿宋" w:cs="仿宋"/>
          <w:color w:val="auto"/>
          <w:sz w:val="34"/>
          <w:szCs w:val="34"/>
          <w:u w:val="none"/>
        </w:rPr>
        <w:t>村面貌持续改善。安全发展底线更加稳固，建设更高水平的平安沙堆。</w:t>
      </w:r>
    </w:p>
    <w:p>
      <w:pPr>
        <w:pStyle w:val="2"/>
        <w:rPr>
          <w:rFonts w:hint="eastAsia" w:ascii="仿宋" w:hAnsi="仿宋" w:eastAsia="仿宋" w:cs="仿宋"/>
          <w:color w:val="auto"/>
          <w:sz w:val="34"/>
          <w:szCs w:val="34"/>
          <w:u w:val="none"/>
        </w:rPr>
      </w:pPr>
    </w:p>
    <w:p>
      <w:pPr>
        <w:rPr>
          <w:rFonts w:hint="eastAsia" w:ascii="仿宋" w:hAnsi="仿宋" w:eastAsia="仿宋" w:cs="仿宋"/>
          <w:color w:val="auto"/>
          <w:sz w:val="34"/>
          <w:szCs w:val="34"/>
          <w:u w:val="none"/>
        </w:rPr>
      </w:pPr>
    </w:p>
    <w:p>
      <w:pPr>
        <w:pStyle w:val="2"/>
        <w:rPr>
          <w:rFonts w:hint="eastAsia" w:ascii="仿宋" w:hAnsi="仿宋" w:eastAsia="仿宋" w:cs="仿宋"/>
          <w:color w:val="auto"/>
          <w:sz w:val="34"/>
          <w:szCs w:val="34"/>
          <w:u w:val="none"/>
        </w:rPr>
      </w:pPr>
    </w:p>
    <w:p>
      <w:pPr>
        <w:rPr>
          <w:rFonts w:hint="eastAsia" w:ascii="仿宋" w:hAnsi="仿宋" w:eastAsia="仿宋" w:cs="仿宋"/>
          <w:color w:val="auto"/>
          <w:sz w:val="34"/>
          <w:szCs w:val="34"/>
          <w:u w:val="none"/>
        </w:rPr>
      </w:pPr>
    </w:p>
    <w:p>
      <w:pPr>
        <w:pStyle w:val="2"/>
        <w:rPr>
          <w:rFonts w:hint="eastAsia" w:ascii="仿宋" w:hAnsi="仿宋" w:eastAsia="仿宋" w:cs="仿宋"/>
          <w:color w:val="auto"/>
          <w:sz w:val="34"/>
          <w:szCs w:val="34"/>
          <w:u w:val="none"/>
        </w:rPr>
      </w:pPr>
    </w:p>
    <w:p>
      <w:pPr>
        <w:rPr>
          <w:rFonts w:hint="eastAsia" w:ascii="仿宋" w:hAnsi="仿宋" w:eastAsia="仿宋" w:cs="仿宋"/>
          <w:color w:val="auto"/>
          <w:sz w:val="34"/>
          <w:szCs w:val="34"/>
          <w:u w:val="none"/>
        </w:rPr>
      </w:pPr>
    </w:p>
    <w:p>
      <w:pPr>
        <w:pStyle w:val="2"/>
        <w:rPr>
          <w:rFonts w:hint="eastAsia" w:ascii="仿宋" w:hAnsi="仿宋" w:eastAsia="仿宋" w:cs="仿宋"/>
          <w:color w:val="auto"/>
          <w:sz w:val="34"/>
          <w:szCs w:val="34"/>
          <w:u w:val="none"/>
        </w:rPr>
      </w:pPr>
    </w:p>
    <w:p>
      <w:pPr>
        <w:rPr>
          <w:rFonts w:hint="eastAsia" w:ascii="仿宋" w:hAnsi="仿宋" w:eastAsia="仿宋" w:cs="仿宋"/>
          <w:color w:val="auto"/>
          <w:sz w:val="34"/>
          <w:szCs w:val="34"/>
          <w:u w:val="none"/>
        </w:rPr>
      </w:pPr>
    </w:p>
    <w:p>
      <w:pPr>
        <w:pStyle w:val="2"/>
        <w:ind w:left="0" w:leftChars="0" w:firstLine="0" w:firstLineChars="0"/>
        <w:jc w:val="both"/>
        <w:rPr>
          <w:rFonts w:hint="eastAsia"/>
        </w:rPr>
      </w:pPr>
    </w:p>
    <w:p>
      <w:pPr>
        <w:pStyle w:val="3"/>
        <w:keepNext w:val="0"/>
        <w:keepLines w:val="0"/>
        <w:pageBreakBefore w:val="0"/>
        <w:widowControl/>
        <w:numPr>
          <w:ilvl w:val="0"/>
          <w:numId w:val="1"/>
        </w:numPr>
        <w:kinsoku/>
        <w:wordWrap/>
        <w:overflowPunct/>
        <w:topLinePunct w:val="0"/>
        <w:bidi w:val="0"/>
        <w:adjustRightInd/>
        <w:snapToGrid/>
        <w:spacing w:before="0" w:after="0" w:line="600" w:lineRule="exact"/>
        <w:ind w:left="0" w:leftChars="0" w:firstLine="0" w:firstLineChars="0"/>
        <w:textAlignment w:val="auto"/>
        <w:rPr>
          <w:rFonts w:hint="eastAsia" w:ascii="黑体" w:hAnsi="黑体" w:eastAsia="黑体" w:cs="黑体"/>
          <w:b w:val="0"/>
          <w:bCs/>
          <w:kern w:val="36"/>
          <w:sz w:val="34"/>
          <w:szCs w:val="34"/>
          <w:shd w:val="clear" w:color="auto" w:fill="FFFFFF"/>
          <w:lang w:val="zh-CN"/>
        </w:rPr>
      </w:pPr>
      <w:r>
        <w:rPr>
          <w:rFonts w:hint="eastAsia" w:ascii="黑体" w:hAnsi="黑体" w:eastAsia="黑体" w:cs="黑体"/>
          <w:b w:val="0"/>
          <w:bCs/>
          <w:kern w:val="36"/>
          <w:sz w:val="34"/>
          <w:szCs w:val="34"/>
          <w:shd w:val="clear" w:color="auto" w:fill="FFFFFF"/>
          <w:lang w:val="zh-CN"/>
        </w:rPr>
        <w:t>“十四五”工作措施</w:t>
      </w:r>
    </w:p>
    <w:p>
      <w:pPr>
        <w:numPr>
          <w:ilvl w:val="0"/>
          <w:numId w:val="0"/>
        </w:numPr>
        <w:ind w:leftChars="0"/>
        <w:rPr>
          <w:rFonts w:hint="eastAsia"/>
        </w:rPr>
      </w:pPr>
    </w:p>
    <w:bookmarkEnd w:id="38"/>
    <w:bookmarkEnd w:id="39"/>
    <w:p>
      <w:pPr>
        <w:pageBreakBefore w:val="0"/>
        <w:kinsoku/>
        <w:wordWrap/>
        <w:overflowPunct/>
        <w:topLinePunct w:val="0"/>
        <w:bidi w:val="0"/>
        <w:snapToGrid/>
        <w:spacing w:line="600" w:lineRule="exact"/>
        <w:ind w:firstLine="683" w:firstLineChars="200"/>
        <w:textAlignment w:val="auto"/>
        <w:rPr>
          <w:rFonts w:hint="eastAsia" w:ascii="楷体" w:hAnsi="楷体" w:eastAsia="楷体" w:cs="楷体"/>
          <w:b/>
          <w:bCs/>
          <w:color w:val="auto"/>
          <w:sz w:val="34"/>
          <w:szCs w:val="34"/>
          <w:u w:val="none"/>
        </w:rPr>
      </w:pPr>
      <w:r>
        <w:rPr>
          <w:rFonts w:hint="eastAsia" w:ascii="楷体" w:hAnsi="楷体" w:eastAsia="楷体" w:cs="楷体"/>
          <w:b/>
          <w:bCs/>
          <w:color w:val="auto"/>
          <w:sz w:val="34"/>
          <w:szCs w:val="34"/>
          <w:u w:val="none"/>
        </w:rPr>
        <w:t>（一）聚焦产业提档升级，狠抓项目建设，在经济高质量发展上实现新提升。</w:t>
      </w:r>
    </w:p>
    <w:p>
      <w:pPr>
        <w:pageBreakBefore w:val="0"/>
        <w:kinsoku/>
        <w:wordWrap/>
        <w:overflowPunct/>
        <w:topLinePunct w:val="0"/>
        <w:bidi w:val="0"/>
        <w:snapToGrid/>
        <w:spacing w:line="600" w:lineRule="exact"/>
        <w:ind w:firstLine="683" w:firstLineChars="200"/>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一是壮大发展三大支柱产业</w:t>
      </w:r>
      <w:r>
        <w:rPr>
          <w:rFonts w:hint="eastAsia" w:ascii="仿宋" w:hAnsi="仿宋" w:eastAsia="仿宋" w:cs="仿宋"/>
          <w:b/>
          <w:color w:val="auto"/>
          <w:sz w:val="34"/>
          <w:szCs w:val="34"/>
          <w:u w:val="none"/>
        </w:rPr>
        <w:t>。</w:t>
      </w:r>
      <w:r>
        <w:rPr>
          <w:rFonts w:hint="eastAsia" w:ascii="仿宋" w:hAnsi="仿宋" w:eastAsia="仿宋" w:cs="仿宋"/>
          <w:color w:val="auto"/>
          <w:sz w:val="34"/>
          <w:szCs w:val="34"/>
          <w:u w:val="none"/>
        </w:rPr>
        <w:t>做大做强</w:t>
      </w:r>
      <w:r>
        <w:rPr>
          <w:rFonts w:hint="eastAsia" w:ascii="仿宋" w:hAnsi="仿宋" w:eastAsia="仿宋" w:cs="仿宋"/>
          <w:b/>
          <w:color w:val="auto"/>
          <w:sz w:val="34"/>
          <w:szCs w:val="34"/>
          <w:u w:val="none"/>
        </w:rPr>
        <w:t>先进装备制造业</w:t>
      </w:r>
      <w:r>
        <w:rPr>
          <w:rFonts w:hint="eastAsia" w:ascii="仿宋" w:hAnsi="仿宋" w:eastAsia="仿宋" w:cs="仿宋"/>
          <w:color w:val="auto"/>
          <w:sz w:val="34"/>
          <w:szCs w:val="34"/>
          <w:u w:val="none"/>
        </w:rPr>
        <w:t>，依托江珠高端产业集聚发展区和珠江西岸先进装备制造产业带的建设，支持富华铸锻、广进铸锻、海星游艇等重点装备制造企业做大做强</w:t>
      </w:r>
      <w:r>
        <w:rPr>
          <w:rFonts w:hint="eastAsia" w:ascii="仿宋" w:hAnsi="仿宋" w:eastAsia="仿宋" w:cs="仿宋"/>
          <w:color w:val="auto"/>
          <w:sz w:val="34"/>
          <w:szCs w:val="34"/>
          <w:u w:val="none"/>
          <w:lang w:eastAsia="zh-CN"/>
        </w:rPr>
        <w:t>。</w:t>
      </w:r>
      <w:r>
        <w:rPr>
          <w:rFonts w:hint="eastAsia" w:ascii="仿宋" w:hAnsi="仿宋" w:eastAsia="仿宋" w:cs="仿宋"/>
          <w:color w:val="auto"/>
          <w:kern w:val="2"/>
          <w:sz w:val="34"/>
          <w:szCs w:val="34"/>
          <w:u w:val="none"/>
          <w:lang w:val="en-US" w:eastAsia="zh-CN" w:bidi="ar-SA"/>
        </w:rPr>
        <w:t>延伸富华铸锻汽车配件产业链，</w:t>
      </w:r>
      <w:r>
        <w:rPr>
          <w:rFonts w:hint="eastAsia" w:ascii="仿宋" w:hAnsi="仿宋" w:eastAsia="仿宋" w:cs="仿宋"/>
          <w:color w:val="auto"/>
          <w:sz w:val="34"/>
          <w:szCs w:val="34"/>
          <w:u w:val="none"/>
        </w:rPr>
        <w:t>加快机加工车间的建设，力促富华铸锻“十四五”期间产值超</w:t>
      </w:r>
      <w:r>
        <w:rPr>
          <w:rFonts w:hint="eastAsia" w:ascii="仿宋" w:hAnsi="仿宋" w:eastAsia="仿宋" w:cs="仿宋"/>
          <w:color w:val="auto"/>
          <w:sz w:val="34"/>
          <w:szCs w:val="34"/>
          <w:u w:val="none"/>
          <w:lang w:val="en-US" w:eastAsia="zh-CN"/>
        </w:rPr>
        <w:t>30</w:t>
      </w:r>
      <w:r>
        <w:rPr>
          <w:rFonts w:hint="eastAsia" w:ascii="仿宋" w:hAnsi="仿宋" w:eastAsia="仿宋" w:cs="仿宋"/>
          <w:color w:val="auto"/>
          <w:sz w:val="34"/>
          <w:szCs w:val="34"/>
          <w:u w:val="none"/>
        </w:rPr>
        <w:t>亿元</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加快推进海星游艇</w:t>
      </w:r>
      <w:r>
        <w:rPr>
          <w:rFonts w:hint="eastAsia" w:ascii="仿宋" w:hAnsi="仿宋" w:eastAsia="仿宋" w:cs="仿宋"/>
          <w:color w:val="auto"/>
          <w:sz w:val="34"/>
          <w:szCs w:val="34"/>
          <w:u w:val="none"/>
          <w:lang w:eastAsia="zh-CN"/>
        </w:rPr>
        <w:t>增资</w:t>
      </w:r>
      <w:r>
        <w:rPr>
          <w:rFonts w:hint="eastAsia" w:ascii="仿宋" w:hAnsi="仿宋" w:eastAsia="仿宋" w:cs="仿宋"/>
          <w:color w:val="auto"/>
          <w:sz w:val="34"/>
          <w:szCs w:val="34"/>
          <w:u w:val="none"/>
        </w:rPr>
        <w:t>扩产、新能源摩托车</w:t>
      </w:r>
      <w:r>
        <w:rPr>
          <w:rFonts w:hint="eastAsia" w:ascii="仿宋" w:hAnsi="仿宋" w:eastAsia="仿宋" w:cs="仿宋"/>
          <w:color w:val="auto"/>
          <w:sz w:val="34"/>
          <w:szCs w:val="34"/>
          <w:u w:val="none"/>
          <w:lang w:eastAsia="zh-CN"/>
        </w:rPr>
        <w:t>项目</w:t>
      </w:r>
      <w:r>
        <w:rPr>
          <w:rFonts w:hint="eastAsia" w:ascii="仿宋" w:hAnsi="仿宋" w:eastAsia="仿宋" w:cs="仿宋"/>
          <w:color w:val="auto"/>
          <w:sz w:val="34"/>
          <w:szCs w:val="34"/>
          <w:u w:val="none"/>
        </w:rPr>
        <w:t>落地投产等重点工作</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培育发展</w:t>
      </w:r>
      <w:r>
        <w:rPr>
          <w:rFonts w:hint="eastAsia" w:ascii="仿宋" w:hAnsi="仿宋" w:eastAsia="仿宋" w:cs="仿宋"/>
          <w:b/>
          <w:color w:val="auto"/>
          <w:sz w:val="34"/>
          <w:szCs w:val="34"/>
          <w:u w:val="none"/>
        </w:rPr>
        <w:t>新型材料产业</w:t>
      </w:r>
      <w:r>
        <w:rPr>
          <w:rFonts w:hint="eastAsia" w:ascii="仿宋" w:hAnsi="仿宋" w:eastAsia="仿宋" w:cs="仿宋"/>
          <w:color w:val="auto"/>
          <w:sz w:val="34"/>
          <w:szCs w:val="34"/>
          <w:u w:val="none"/>
        </w:rPr>
        <w:t>，促进</w:t>
      </w:r>
      <w:r>
        <w:rPr>
          <w:rFonts w:hint="eastAsia" w:ascii="仿宋" w:hAnsi="仿宋" w:eastAsia="仿宋" w:cs="仿宋"/>
          <w:color w:val="auto"/>
          <w:sz w:val="34"/>
          <w:szCs w:val="34"/>
          <w:u w:val="none"/>
          <w:lang w:eastAsia="zh-CN"/>
        </w:rPr>
        <w:t>以</w:t>
      </w:r>
      <w:r>
        <w:rPr>
          <w:rFonts w:hint="eastAsia" w:ascii="仿宋" w:hAnsi="仿宋" w:eastAsia="仿宋" w:cs="仿宋"/>
          <w:color w:val="auto"/>
          <w:sz w:val="34"/>
          <w:szCs w:val="34"/>
          <w:u w:val="none"/>
        </w:rPr>
        <w:t>三和管桩、建丰管桩、</w:t>
      </w:r>
      <w:r>
        <w:rPr>
          <w:rFonts w:hint="eastAsia" w:ascii="仿宋" w:hAnsi="仿宋" w:eastAsia="仿宋" w:cs="仿宋"/>
          <w:color w:val="auto"/>
          <w:sz w:val="34"/>
          <w:szCs w:val="34"/>
          <w:highlight w:val="none"/>
          <w:u w:val="none"/>
        </w:rPr>
        <w:t>博森康体材料</w:t>
      </w:r>
      <w:r>
        <w:rPr>
          <w:rFonts w:hint="eastAsia" w:ascii="仿宋" w:hAnsi="仿宋" w:eastAsia="仿宋" w:cs="仿宋"/>
          <w:color w:val="auto"/>
          <w:sz w:val="34"/>
          <w:szCs w:val="34"/>
          <w:u w:val="none"/>
        </w:rPr>
        <w:t>、思成建材为代表的新型材料产业提速发展，依托粤港澳大湾区、银湖湾滨海新区</w:t>
      </w:r>
      <w:r>
        <w:rPr>
          <w:rFonts w:hint="eastAsia" w:ascii="仿宋" w:hAnsi="仿宋" w:eastAsia="仿宋" w:cs="仿宋"/>
          <w:color w:val="auto"/>
          <w:spacing w:val="-2"/>
          <w:kern w:val="0"/>
          <w:sz w:val="34"/>
          <w:szCs w:val="34"/>
          <w:u w:val="none"/>
        </w:rPr>
        <w:t>基建建设的优势，</w:t>
      </w:r>
      <w:r>
        <w:rPr>
          <w:rFonts w:hint="eastAsia" w:ascii="仿宋" w:hAnsi="仿宋" w:eastAsia="仿宋" w:cs="仿宋"/>
          <w:color w:val="auto"/>
          <w:sz w:val="34"/>
          <w:szCs w:val="34"/>
          <w:u w:val="none"/>
        </w:rPr>
        <w:t>形成新的经济增长点</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提档升级</w:t>
      </w:r>
      <w:r>
        <w:rPr>
          <w:rFonts w:hint="eastAsia" w:ascii="仿宋" w:hAnsi="仿宋" w:eastAsia="仿宋" w:cs="仿宋"/>
          <w:b/>
          <w:color w:val="auto"/>
          <w:sz w:val="34"/>
          <w:szCs w:val="34"/>
          <w:u w:val="none"/>
        </w:rPr>
        <w:t>现代纺织产业</w:t>
      </w:r>
      <w:r>
        <w:rPr>
          <w:rFonts w:hint="eastAsia" w:ascii="仿宋" w:hAnsi="仿宋" w:eastAsia="仿宋" w:cs="仿宋"/>
          <w:color w:val="auto"/>
          <w:sz w:val="34"/>
          <w:szCs w:val="34"/>
          <w:u w:val="none"/>
        </w:rPr>
        <w:t>，加快推进投资15亿的小尔纺织新材料产业园项目，通过整合园区资源，借助物联网大数据的园区管理模式，建设“织造—数码印花—定型”环保纺织新材料工业商品厂房项目。通过园区集中供热、集中污水处理的方式，从整体上提升纺织印染产业档次。</w:t>
      </w:r>
      <w:r>
        <w:rPr>
          <w:rFonts w:hint="eastAsia" w:ascii="仿宋" w:hAnsi="仿宋" w:eastAsia="仿宋" w:cs="仿宋"/>
          <w:b/>
          <w:bCs/>
          <w:color w:val="auto"/>
          <w:sz w:val="34"/>
          <w:szCs w:val="34"/>
          <w:u w:val="none"/>
        </w:rPr>
        <w:t>二是全力打造产业发展新平台。</w:t>
      </w:r>
      <w:r>
        <w:rPr>
          <w:rFonts w:hint="eastAsia" w:ascii="仿宋" w:hAnsi="仿宋" w:eastAsia="仿宋" w:cs="仿宋"/>
          <w:color w:val="auto"/>
          <w:sz w:val="34"/>
          <w:szCs w:val="34"/>
          <w:u w:val="none"/>
        </w:rPr>
        <w:t>主动承接珠西新材料集聚区精细化工产业溢出，积极谋划“一园”——珠西新材料集聚区扩区，落实珠西扩区土地规模，加快融入全区的大园区规划建设之中。同步</w:t>
      </w:r>
      <w:r>
        <w:rPr>
          <w:rFonts w:hint="eastAsia" w:ascii="仿宋" w:hAnsi="仿宋" w:eastAsia="仿宋" w:cs="仿宋"/>
          <w:color w:val="auto"/>
          <w:sz w:val="34"/>
          <w:szCs w:val="34"/>
          <w:u w:val="none"/>
          <w:lang w:eastAsia="zh-CN"/>
        </w:rPr>
        <w:t>对</w:t>
      </w:r>
      <w:r>
        <w:rPr>
          <w:rFonts w:hint="eastAsia" w:ascii="仿宋" w:hAnsi="仿宋" w:eastAsia="仿宋" w:cs="仿宋"/>
          <w:color w:val="auto"/>
          <w:sz w:val="34"/>
          <w:szCs w:val="34"/>
          <w:u w:val="none"/>
        </w:rPr>
        <w:t>金门工业园区进行升级改造，进一步完善管网等基础设施和生活配套设施，全力打造基础设施完备、产业强强联合、优势互补叠加的大湾区产业承载平台。结合江门港总体规划，合理利用和保护岸线资源，加快推进银湖拆船、三和管桩和</w:t>
      </w:r>
      <w:r>
        <w:rPr>
          <w:rFonts w:hint="eastAsia" w:ascii="仿宋" w:hAnsi="仿宋" w:eastAsia="仿宋" w:cs="仿宋"/>
          <w:color w:val="auto"/>
          <w:sz w:val="34"/>
          <w:szCs w:val="34"/>
          <w:highlight w:val="none"/>
          <w:u w:val="none"/>
        </w:rPr>
        <w:t>鸿泰修船</w:t>
      </w:r>
      <w:r>
        <w:rPr>
          <w:rFonts w:hint="eastAsia" w:ascii="仿宋" w:hAnsi="仿宋" w:eastAsia="仿宋" w:cs="仿宋"/>
          <w:color w:val="auto"/>
          <w:sz w:val="34"/>
          <w:szCs w:val="34"/>
          <w:u w:val="none"/>
        </w:rPr>
        <w:t>等新建码头工程建设。</w:t>
      </w:r>
      <w:r>
        <w:rPr>
          <w:rFonts w:hint="eastAsia" w:ascii="仿宋" w:hAnsi="仿宋" w:eastAsia="仿宋" w:cs="仿宋"/>
          <w:b/>
          <w:color w:val="auto"/>
          <w:sz w:val="34"/>
          <w:szCs w:val="34"/>
          <w:u w:val="none"/>
        </w:rPr>
        <w:t>三是完善园区路网体系建设</w:t>
      </w:r>
      <w:r>
        <w:rPr>
          <w:rFonts w:hint="eastAsia" w:ascii="仿宋" w:hAnsi="仿宋" w:eastAsia="仿宋" w:cs="仿宋"/>
          <w:b/>
          <w:color w:val="auto"/>
          <w:sz w:val="34"/>
          <w:szCs w:val="34"/>
          <w:u w:val="none"/>
          <w:lang w:eastAsia="zh-CN"/>
        </w:rPr>
        <w:t>。</w:t>
      </w:r>
      <w:r>
        <w:rPr>
          <w:rFonts w:hint="eastAsia" w:ascii="仿宋" w:hAnsi="仿宋" w:eastAsia="仿宋" w:cs="仿宋"/>
          <w:color w:val="auto"/>
          <w:sz w:val="34"/>
          <w:szCs w:val="34"/>
          <w:u w:val="none"/>
        </w:rPr>
        <w:t>加强与新会主城区和古井镇以及邻近的珠海等地的交通联系，协调推进铁路、高速公路、干线公路建设，形成以省道S269线、S270线为纵向</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国道G228线、县道X575线与沙堆至罗坑公路为横向的“两纵三横”对外交通网络。配合推进斗恩高速和广佛江珠城际、珠肇高铁以及省道S269线改线扩建等项目，规划建设</w:t>
      </w:r>
      <w:r>
        <w:rPr>
          <w:rFonts w:hint="eastAsia" w:ascii="仿宋" w:hAnsi="仿宋" w:eastAsia="仿宋" w:cs="仿宋"/>
          <w:color w:val="auto"/>
          <w:sz w:val="34"/>
          <w:szCs w:val="34"/>
          <w:u w:val="none"/>
          <w:lang w:eastAsia="zh-CN"/>
        </w:rPr>
        <w:t>“一路”——沙堆至古井</w:t>
      </w:r>
      <w:r>
        <w:rPr>
          <w:rFonts w:hint="eastAsia" w:ascii="仿宋" w:hAnsi="仿宋" w:eastAsia="仿宋" w:cs="仿宋"/>
          <w:color w:val="auto"/>
          <w:sz w:val="34"/>
          <w:szCs w:val="34"/>
          <w:u w:val="none"/>
        </w:rPr>
        <w:t>公路，加快联通和服务珠西新材料集聚区及其扩区。积极谋划推动沙堆至斗门莲洲跨江通道，助力珠海-江门产业园区规划建设。</w:t>
      </w:r>
      <w:r>
        <w:rPr>
          <w:rFonts w:hint="eastAsia" w:ascii="仿宋" w:hAnsi="仿宋" w:eastAsia="仿宋" w:cs="仿宋"/>
          <w:b/>
          <w:color w:val="auto"/>
          <w:sz w:val="34"/>
          <w:szCs w:val="34"/>
          <w:u w:val="none"/>
        </w:rPr>
        <w:t>四</w:t>
      </w:r>
      <w:r>
        <w:rPr>
          <w:rFonts w:hint="eastAsia" w:ascii="仿宋" w:hAnsi="仿宋" w:eastAsia="仿宋" w:cs="仿宋"/>
          <w:b/>
          <w:bCs/>
          <w:color w:val="auto"/>
          <w:sz w:val="34"/>
          <w:szCs w:val="34"/>
          <w:u w:val="none"/>
        </w:rPr>
        <w:t>是深入推进供给侧结构性改革。</w:t>
      </w:r>
      <w:r>
        <w:rPr>
          <w:rFonts w:hint="eastAsia" w:ascii="仿宋" w:hAnsi="仿宋" w:eastAsia="仿宋" w:cs="仿宋"/>
          <w:color w:val="auto"/>
          <w:sz w:val="34"/>
          <w:szCs w:val="34"/>
          <w:u w:val="none"/>
        </w:rPr>
        <w:t>精准开展“产业链招商”，依据全镇产业基础，加快引入带动全镇发展的龙头型项目，扩展延伸汽车配件、海洋工程船等现有优势产业链。</w:t>
      </w:r>
      <w:r>
        <w:rPr>
          <w:rFonts w:hint="eastAsia" w:ascii="仿宋" w:hAnsi="仿宋" w:eastAsia="仿宋" w:cs="仿宋"/>
          <w:color w:val="auto"/>
          <w:sz w:val="34"/>
          <w:szCs w:val="34"/>
          <w:u w:val="none"/>
          <w:lang w:bidi="ar"/>
        </w:rPr>
        <w:t>加快推进淘汰落后产能，提高资源集约利用效益，盘活中小船舶基地闲置资源开展并购重组、产业合作，促进企业转型升级。</w:t>
      </w:r>
      <w:r>
        <w:rPr>
          <w:rFonts w:hint="eastAsia" w:ascii="仿宋" w:hAnsi="仿宋" w:eastAsia="仿宋" w:cs="仿宋"/>
          <w:color w:val="auto"/>
          <w:sz w:val="34"/>
          <w:szCs w:val="34"/>
          <w:u w:val="none"/>
        </w:rPr>
        <w:t>依托高质量发展“效益十条”的政策优势，助力企业提升效益和竞争力，推动生产要素向优势项目和产业集聚。补强三产服务业短板，加大培育住宿、餐饮业力度，完善园区三产配套建设。</w:t>
      </w:r>
    </w:p>
    <w:p>
      <w:pPr>
        <w:pageBreakBefore w:val="0"/>
        <w:kinsoku/>
        <w:wordWrap/>
        <w:overflowPunct/>
        <w:topLinePunct w:val="0"/>
        <w:bidi w:val="0"/>
        <w:snapToGrid/>
        <w:spacing w:line="600" w:lineRule="exact"/>
        <w:ind w:firstLine="683" w:firstLineChars="200"/>
        <w:textAlignment w:val="auto"/>
        <w:rPr>
          <w:rFonts w:hint="eastAsia" w:ascii="楷体" w:hAnsi="楷体" w:eastAsia="楷体" w:cs="楷体"/>
          <w:b/>
          <w:bCs/>
          <w:color w:val="auto"/>
          <w:sz w:val="34"/>
          <w:szCs w:val="34"/>
          <w:u w:val="none"/>
        </w:rPr>
      </w:pPr>
      <w:r>
        <w:rPr>
          <w:rFonts w:hint="eastAsia" w:ascii="楷体" w:hAnsi="楷体" w:eastAsia="楷体" w:cs="楷体"/>
          <w:b/>
          <w:bCs/>
          <w:color w:val="auto"/>
          <w:sz w:val="34"/>
          <w:szCs w:val="34"/>
          <w:u w:val="none"/>
        </w:rPr>
        <w:t>（二）聚焦城乡提色增亮，</w:t>
      </w:r>
      <w:r>
        <w:rPr>
          <w:rFonts w:hint="eastAsia" w:ascii="楷体" w:hAnsi="楷体" w:eastAsia="楷体" w:cs="楷体"/>
          <w:b/>
          <w:bCs/>
          <w:color w:val="auto"/>
          <w:sz w:val="34"/>
          <w:szCs w:val="34"/>
          <w:highlight w:val="none"/>
          <w:u w:val="none"/>
        </w:rPr>
        <w:t>促进</w:t>
      </w:r>
      <w:r>
        <w:rPr>
          <w:rFonts w:hint="eastAsia" w:ascii="楷体" w:hAnsi="楷体" w:eastAsia="楷体" w:cs="楷体"/>
          <w:b/>
          <w:bCs/>
          <w:color w:val="auto"/>
          <w:sz w:val="34"/>
          <w:szCs w:val="34"/>
          <w:highlight w:val="none"/>
          <w:u w:val="none"/>
          <w:lang w:eastAsia="zh-CN"/>
        </w:rPr>
        <w:t>富裕兴旺</w:t>
      </w:r>
      <w:r>
        <w:rPr>
          <w:rFonts w:hint="eastAsia" w:ascii="楷体" w:hAnsi="楷体" w:eastAsia="楷体" w:cs="楷体"/>
          <w:b/>
          <w:bCs/>
          <w:color w:val="auto"/>
          <w:sz w:val="34"/>
          <w:szCs w:val="34"/>
          <w:highlight w:val="none"/>
          <w:u w:val="none"/>
        </w:rPr>
        <w:t>，</w:t>
      </w:r>
      <w:r>
        <w:rPr>
          <w:rFonts w:hint="eastAsia" w:ascii="楷体" w:hAnsi="楷体" w:eastAsia="楷体" w:cs="楷体"/>
          <w:b/>
          <w:bCs/>
          <w:color w:val="auto"/>
          <w:sz w:val="34"/>
          <w:szCs w:val="34"/>
          <w:u w:val="none"/>
        </w:rPr>
        <w:t>在加快实施乡村振兴战略上实现新提升。</w:t>
      </w:r>
    </w:p>
    <w:p>
      <w:pPr>
        <w:pageBreakBefore w:val="0"/>
        <w:kinsoku/>
        <w:wordWrap/>
        <w:overflowPunct/>
        <w:topLinePunct w:val="0"/>
        <w:autoSpaceDE w:val="0"/>
        <w:autoSpaceDN w:val="0"/>
        <w:bidi w:val="0"/>
        <w:snapToGrid/>
        <w:spacing w:line="600" w:lineRule="exact"/>
        <w:ind w:firstLine="646"/>
        <w:textAlignment w:val="auto"/>
        <w:rPr>
          <w:rFonts w:hint="eastAsia" w:ascii="仿宋" w:hAnsi="仿宋" w:eastAsia="仿宋" w:cs="仿宋"/>
          <w:color w:val="auto"/>
          <w:sz w:val="34"/>
          <w:szCs w:val="34"/>
          <w:u w:val="none"/>
        </w:rPr>
      </w:pPr>
      <w:r>
        <w:rPr>
          <w:rFonts w:hint="eastAsia" w:ascii="仿宋" w:hAnsi="仿宋" w:eastAsia="仿宋" w:cs="仿宋"/>
          <w:b/>
          <w:bCs/>
          <w:color w:val="auto"/>
          <w:sz w:val="34"/>
          <w:szCs w:val="34"/>
          <w:u w:val="none"/>
        </w:rPr>
        <w:t>一是着力深化农村规划。</w:t>
      </w:r>
      <w:r>
        <w:rPr>
          <w:rFonts w:hint="eastAsia" w:ascii="仿宋" w:hAnsi="仿宋" w:eastAsia="仿宋" w:cs="仿宋"/>
          <w:color w:val="auto"/>
          <w:sz w:val="34"/>
          <w:szCs w:val="34"/>
          <w:u w:val="none"/>
        </w:rPr>
        <w:t>扎实推进各村（社区）五年行动规划的组织实施，打造以党建为引领、以发展本土特色为重点的乡村振兴示范村。推进巩固拓展脱贫攻坚成果同乡村振兴有效衔接，做好防止返贫动态监测工作，全面巩固脱贫成效。落实严格耕地保护制度，坚决遏制耕地“非农化”、防止“非粮化”。</w:t>
      </w:r>
      <w:r>
        <w:rPr>
          <w:rFonts w:hint="eastAsia" w:ascii="仿宋" w:hAnsi="仿宋" w:eastAsia="仿宋" w:cs="仿宋"/>
          <w:b/>
          <w:bCs/>
          <w:color w:val="auto"/>
          <w:sz w:val="34"/>
          <w:szCs w:val="34"/>
          <w:u w:val="none"/>
        </w:rPr>
        <w:t>二是着力实现产业振兴。</w:t>
      </w:r>
      <w:r>
        <w:rPr>
          <w:rFonts w:hint="eastAsia" w:ascii="仿宋" w:hAnsi="仿宋" w:eastAsia="仿宋" w:cs="仿宋"/>
          <w:color w:val="auto"/>
          <w:sz w:val="34"/>
          <w:szCs w:val="34"/>
          <w:u w:val="none"/>
        </w:rPr>
        <w:t>擦亮省绿色水产养殖专业镇和大环村作为省级“一村一品”专业村的名片，深入推进农业专业人员队伍建设，引进笋壳鱼、黄骨鱼、丁</w:t>
      </w:r>
      <w:r>
        <w:rPr>
          <w:rFonts w:hint="eastAsia" w:ascii="仿宋" w:hAnsi="仿宋" w:eastAsia="仿宋" w:cs="仿宋"/>
          <w:color w:val="auto"/>
          <w:sz w:val="34"/>
          <w:szCs w:val="34"/>
          <w:u w:val="none"/>
          <w:lang w:eastAsia="zh-CN"/>
        </w:rPr>
        <w:t>加</w:t>
      </w:r>
      <w:r>
        <w:rPr>
          <w:rFonts w:hint="eastAsia" w:ascii="仿宋" w:hAnsi="仿宋" w:eastAsia="仿宋" w:cs="仿宋"/>
          <w:color w:val="auto"/>
          <w:sz w:val="34"/>
          <w:szCs w:val="34"/>
          <w:u w:val="none"/>
        </w:rPr>
        <w:t>兰鱼等一批优质新品种，建立无公害水产养殖示范基地，推广无公害养殖技术和模式，提高沙堆镇的水产品质量和竞争力。综合考量沙堆镇的区位条件、特色资源、市场需求等发展优势，做强做</w:t>
      </w:r>
      <w:r>
        <w:rPr>
          <w:rFonts w:hint="eastAsia" w:ascii="仿宋" w:hAnsi="仿宋" w:eastAsia="仿宋" w:cs="仿宋"/>
          <w:color w:val="auto"/>
          <w:kern w:val="2"/>
          <w:sz w:val="34"/>
          <w:szCs w:val="34"/>
          <w:u w:val="none"/>
          <w:lang w:val="en-US" w:eastAsia="zh-CN" w:bidi="ar-SA"/>
        </w:rPr>
        <w:t>优做大灵芝、菠萝、牛大力等富民兴村产业。探索</w:t>
      </w:r>
      <w:r>
        <w:rPr>
          <w:rFonts w:hint="eastAsia" w:ascii="仿宋" w:hAnsi="仿宋" w:eastAsia="仿宋" w:cs="仿宋"/>
          <w:color w:val="auto"/>
          <w:kern w:val="2"/>
          <w:sz w:val="34"/>
          <w:szCs w:val="34"/>
          <w:u w:val="none"/>
          <w:lang w:val="zh-CN" w:eastAsia="zh-CN" w:bidi="ar-SA"/>
        </w:rPr>
        <w:t>推广“</w:t>
      </w:r>
      <w:r>
        <w:rPr>
          <w:rFonts w:hint="eastAsia" w:ascii="仿宋" w:hAnsi="仿宋" w:eastAsia="仿宋" w:cs="仿宋"/>
          <w:color w:val="auto"/>
          <w:kern w:val="2"/>
          <w:sz w:val="34"/>
          <w:szCs w:val="34"/>
          <w:u w:val="none"/>
          <w:lang w:val="en-US" w:eastAsia="zh-CN" w:bidi="ar-SA"/>
        </w:rPr>
        <w:t>渔光互补”水产养殖、“农光互补”蔬菜大棚技术</w:t>
      </w:r>
      <w:r>
        <w:rPr>
          <w:rFonts w:hint="eastAsia" w:ascii="仿宋" w:hAnsi="仿宋" w:eastAsia="仿宋" w:cs="仿宋"/>
          <w:color w:val="auto"/>
          <w:kern w:val="2"/>
          <w:sz w:val="34"/>
          <w:szCs w:val="34"/>
          <w:u w:val="none"/>
          <w:lang w:val="zh-CN" w:eastAsia="zh-CN" w:bidi="ar-SA"/>
        </w:rPr>
        <w:t>，促进绿色发展、农民增收</w:t>
      </w:r>
      <w:r>
        <w:rPr>
          <w:rFonts w:hint="eastAsia" w:ascii="仿宋" w:hAnsi="仿宋" w:eastAsia="仿宋" w:cs="仿宋"/>
          <w:color w:val="auto"/>
          <w:kern w:val="2"/>
          <w:sz w:val="34"/>
          <w:szCs w:val="34"/>
          <w:u w:val="none"/>
          <w:lang w:val="en-US" w:eastAsia="zh-CN" w:bidi="ar-SA"/>
        </w:rPr>
        <w:t>。在那伏村开展社会资本参与乡村振兴试点，着力打造渔业、农业和休闲旅游业相结合的综合示范项目。</w:t>
      </w:r>
      <w:r>
        <w:rPr>
          <w:rFonts w:hint="eastAsia" w:ascii="仿宋" w:hAnsi="仿宋" w:eastAsia="仿宋" w:cs="仿宋"/>
          <w:color w:val="auto"/>
          <w:kern w:val="2"/>
          <w:sz w:val="34"/>
          <w:szCs w:val="34"/>
          <w:u w:val="none"/>
          <w:lang w:val="zh-CN" w:eastAsia="zh-CN" w:bidi="ar-SA"/>
        </w:rPr>
        <w:t>推广农业机械化及无公害种植技术，</w:t>
      </w:r>
      <w:r>
        <w:rPr>
          <w:rFonts w:hint="eastAsia" w:ascii="仿宋" w:hAnsi="仿宋" w:eastAsia="仿宋" w:cs="仿宋"/>
          <w:color w:val="auto"/>
          <w:kern w:val="2"/>
          <w:sz w:val="34"/>
          <w:szCs w:val="34"/>
          <w:u w:val="none"/>
          <w:lang w:val="en-US" w:eastAsia="zh-CN" w:bidi="ar-SA"/>
        </w:rPr>
        <w:t>保持全镇粮食年总产量在15万吨以上</w:t>
      </w:r>
      <w:r>
        <w:rPr>
          <w:rFonts w:hint="eastAsia" w:ascii="仿宋" w:hAnsi="仿宋" w:eastAsia="仿宋" w:cs="仿宋"/>
          <w:color w:val="auto"/>
          <w:sz w:val="34"/>
          <w:szCs w:val="34"/>
          <w:u w:val="none"/>
          <w:lang w:val="zh-CN"/>
        </w:rPr>
        <w:t>。</w:t>
      </w:r>
      <w:r>
        <w:rPr>
          <w:rFonts w:hint="eastAsia" w:ascii="仿宋" w:hAnsi="仿宋" w:eastAsia="仿宋" w:cs="仿宋"/>
          <w:color w:val="auto"/>
          <w:sz w:val="34"/>
          <w:szCs w:val="34"/>
          <w:u w:val="none"/>
        </w:rPr>
        <w:t>大力实施</w:t>
      </w:r>
      <w:r>
        <w:rPr>
          <w:rFonts w:hint="eastAsia" w:ascii="仿宋" w:hAnsi="仿宋" w:eastAsia="仿宋" w:cs="仿宋"/>
          <w:color w:val="auto"/>
          <w:sz w:val="34"/>
          <w:szCs w:val="34"/>
          <w:u w:val="none"/>
          <w:lang w:val="zh-CN"/>
        </w:rPr>
        <w:t>“互</w:t>
      </w:r>
      <w:r>
        <w:rPr>
          <w:rFonts w:hint="eastAsia" w:ascii="仿宋" w:hAnsi="仿宋" w:eastAsia="仿宋" w:cs="仿宋"/>
          <w:color w:val="auto"/>
          <w:sz w:val="34"/>
          <w:szCs w:val="34"/>
          <w:u w:val="none"/>
        </w:rPr>
        <w:t>联网+”现代农业行动，加快推进农村物流现代化。以独联村、梅北村为示范点，加快推进数字乡村建设，把技术赋能引入乡村振兴</w:t>
      </w:r>
      <w:r>
        <w:rPr>
          <w:rFonts w:hint="eastAsia" w:ascii="仿宋" w:hAnsi="仿宋" w:eastAsia="仿宋" w:cs="仿宋"/>
          <w:color w:val="auto"/>
          <w:sz w:val="34"/>
          <w:szCs w:val="34"/>
          <w:u w:val="none"/>
          <w:lang w:eastAsia="zh-CN"/>
        </w:rPr>
        <w:t>之</w:t>
      </w:r>
      <w:r>
        <w:rPr>
          <w:rFonts w:hint="eastAsia" w:ascii="仿宋" w:hAnsi="仿宋" w:eastAsia="仿宋" w:cs="仿宋"/>
          <w:color w:val="auto"/>
          <w:sz w:val="34"/>
          <w:szCs w:val="34"/>
          <w:u w:val="none"/>
        </w:rPr>
        <w:t>中。</w:t>
      </w:r>
      <w:r>
        <w:rPr>
          <w:rFonts w:hint="eastAsia" w:ascii="仿宋" w:hAnsi="仿宋" w:eastAsia="仿宋" w:cs="仿宋"/>
          <w:b/>
          <w:bCs/>
          <w:color w:val="auto"/>
          <w:sz w:val="34"/>
          <w:szCs w:val="34"/>
          <w:u w:val="none"/>
        </w:rPr>
        <w:t>三是着力共建美丽城</w:t>
      </w:r>
      <w:r>
        <w:rPr>
          <w:rFonts w:hint="eastAsia" w:ascii="仿宋" w:hAnsi="仿宋" w:eastAsia="仿宋" w:cs="仿宋"/>
          <w:b/>
          <w:bCs/>
          <w:color w:val="auto"/>
          <w:sz w:val="34"/>
          <w:szCs w:val="34"/>
          <w:u w:val="none"/>
          <w:lang w:eastAsia="zh-CN"/>
        </w:rPr>
        <w:t>镇</w:t>
      </w:r>
      <w:r>
        <w:rPr>
          <w:rFonts w:hint="eastAsia" w:ascii="仿宋" w:hAnsi="仿宋" w:eastAsia="仿宋" w:cs="仿宋"/>
          <w:b/>
          <w:bCs/>
          <w:color w:val="auto"/>
          <w:sz w:val="34"/>
          <w:szCs w:val="34"/>
          <w:u w:val="none"/>
        </w:rPr>
        <w:t>。</w:t>
      </w:r>
      <w:r>
        <w:rPr>
          <w:rFonts w:hint="eastAsia" w:ascii="仿宋" w:hAnsi="仿宋" w:eastAsia="仿宋" w:cs="仿宋"/>
          <w:color w:val="auto"/>
          <w:sz w:val="34"/>
          <w:szCs w:val="34"/>
          <w:u w:val="none"/>
        </w:rPr>
        <w:t>实施乡村建设行动，开展绿化美化净化“三化”工程，实现农村基础设施、人居环境、乡村治理“三提升”，实现村庄保洁率和行政村垃圾处理率达到100%，力争2025年前全部村（社区）达到美丽宜居村标准。</w:t>
      </w:r>
      <w:r>
        <w:rPr>
          <w:rFonts w:hint="eastAsia" w:ascii="仿宋" w:hAnsi="仿宋" w:eastAsia="仿宋" w:cs="仿宋"/>
          <w:color w:val="auto"/>
          <w:kern w:val="2"/>
          <w:sz w:val="34"/>
          <w:szCs w:val="34"/>
          <w:u w:val="none"/>
          <w:lang w:val="en-US" w:eastAsia="zh-CN" w:bidi="ar-SA"/>
        </w:rPr>
        <w:t>加快推进墟镇中心道路“白改黑”工程以及开展道路、河岸亮化美化工程。巩固“四</w:t>
      </w:r>
      <w:r>
        <w:rPr>
          <w:rFonts w:hint="eastAsia" w:ascii="仿宋" w:hAnsi="仿宋" w:eastAsia="仿宋" w:cs="仿宋"/>
          <w:color w:val="auto"/>
          <w:sz w:val="34"/>
          <w:szCs w:val="34"/>
          <w:u w:val="none"/>
        </w:rPr>
        <w:t>沿”区域环境整治成果，扎实推进农房管控和乡村风貌提升，健全长效管护机制。深化“厕所革命”，</w:t>
      </w:r>
      <w:r>
        <w:rPr>
          <w:rFonts w:hint="eastAsia" w:ascii="仿宋" w:hAnsi="仿宋" w:eastAsia="仿宋" w:cs="仿宋"/>
          <w:color w:val="auto"/>
          <w:sz w:val="34"/>
          <w:szCs w:val="34"/>
          <w:u w:val="none"/>
          <w:lang w:eastAsia="zh-CN"/>
        </w:rPr>
        <w:t>建立完善</w:t>
      </w:r>
      <w:r>
        <w:rPr>
          <w:rFonts w:hint="eastAsia" w:ascii="仿宋" w:hAnsi="仿宋" w:eastAsia="仿宋" w:cs="仿宋"/>
          <w:color w:val="auto"/>
          <w:sz w:val="34"/>
          <w:szCs w:val="34"/>
          <w:u w:val="none"/>
        </w:rPr>
        <w:t>公厕建设管理</w:t>
      </w:r>
      <w:r>
        <w:rPr>
          <w:rFonts w:hint="eastAsia" w:ascii="仿宋" w:hAnsi="仿宋" w:eastAsia="仿宋" w:cs="仿宋"/>
          <w:color w:val="auto"/>
          <w:sz w:val="34"/>
          <w:szCs w:val="34"/>
          <w:u w:val="none"/>
          <w:lang w:eastAsia="zh-CN"/>
        </w:rPr>
        <w:t>长效机制</w:t>
      </w:r>
      <w:r>
        <w:rPr>
          <w:rFonts w:hint="eastAsia" w:ascii="仿宋" w:hAnsi="仿宋" w:eastAsia="仿宋" w:cs="仿宋"/>
          <w:color w:val="auto"/>
          <w:sz w:val="34"/>
          <w:szCs w:val="34"/>
          <w:u w:val="none"/>
        </w:rPr>
        <w:t>。推进城乡供水一体化，解决农村饮用水安全保障问题。充分发挥各村生态环境、历史文化等资源禀赋优势，以乡村风貌带建设为契机，升级建设独联大坑里公园</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打造梅北村沙湾小组风貌提升工程，逐步将独联到梅北沿线村庄的</w:t>
      </w:r>
      <w:r>
        <w:rPr>
          <w:rFonts w:hint="eastAsia" w:ascii="仿宋" w:hAnsi="仿宋" w:eastAsia="仿宋" w:cs="仿宋"/>
          <w:color w:val="auto"/>
          <w:sz w:val="34"/>
          <w:szCs w:val="34"/>
          <w:u w:val="none"/>
          <w:lang w:eastAsia="zh-CN"/>
        </w:rPr>
        <w:t>旅游资源</w:t>
      </w:r>
      <w:r>
        <w:rPr>
          <w:rFonts w:hint="eastAsia" w:ascii="仿宋" w:hAnsi="仿宋" w:eastAsia="仿宋" w:cs="仿宋"/>
          <w:color w:val="auto"/>
          <w:sz w:val="34"/>
          <w:szCs w:val="34"/>
          <w:u w:val="none"/>
        </w:rPr>
        <w:t>串联成线，实现生态宜居美丽乡村连线成片创建。</w:t>
      </w:r>
    </w:p>
    <w:p>
      <w:pPr>
        <w:pageBreakBefore w:val="0"/>
        <w:kinsoku/>
        <w:wordWrap/>
        <w:overflowPunct/>
        <w:topLinePunct w:val="0"/>
        <w:bidi w:val="0"/>
        <w:snapToGrid/>
        <w:spacing w:line="600" w:lineRule="exact"/>
        <w:ind w:firstLine="683" w:firstLineChars="200"/>
        <w:textAlignment w:val="auto"/>
        <w:rPr>
          <w:rFonts w:hint="eastAsia" w:ascii="楷体" w:hAnsi="楷体" w:eastAsia="楷体" w:cs="楷体"/>
          <w:b/>
          <w:bCs/>
          <w:color w:val="auto"/>
          <w:sz w:val="34"/>
          <w:szCs w:val="34"/>
          <w:u w:val="none"/>
        </w:rPr>
      </w:pPr>
      <w:r>
        <w:rPr>
          <w:rFonts w:hint="eastAsia" w:ascii="楷体" w:hAnsi="楷体" w:eastAsia="楷体" w:cs="楷体"/>
          <w:b/>
          <w:bCs/>
          <w:color w:val="auto"/>
          <w:sz w:val="34"/>
          <w:szCs w:val="34"/>
          <w:u w:val="none"/>
        </w:rPr>
        <w:t>（三）聚焦治理提效增能，补齐短板弱项，在促进和谐稳定上实现新提升。</w:t>
      </w:r>
    </w:p>
    <w:p>
      <w:pPr>
        <w:pStyle w:val="2"/>
        <w:pageBreakBefore w:val="0"/>
        <w:kinsoku/>
        <w:wordWrap/>
        <w:overflowPunct/>
        <w:topLinePunct w:val="0"/>
        <w:bidi w:val="0"/>
        <w:snapToGrid/>
        <w:spacing w:before="0" w:line="600" w:lineRule="exact"/>
        <w:ind w:firstLine="683" w:firstLineChars="200"/>
        <w:jc w:val="both"/>
        <w:textAlignment w:val="auto"/>
        <w:rPr>
          <w:rFonts w:hint="eastAsia" w:ascii="仿宋" w:hAnsi="仿宋" w:eastAsia="仿宋" w:cs="仿宋"/>
          <w:color w:val="auto"/>
          <w:sz w:val="34"/>
          <w:szCs w:val="34"/>
          <w:u w:val="none"/>
        </w:rPr>
      </w:pPr>
      <w:r>
        <w:rPr>
          <w:rFonts w:hint="eastAsia" w:ascii="仿宋" w:hAnsi="仿宋" w:eastAsia="仿宋" w:cs="仿宋"/>
          <w:b/>
          <w:color w:val="auto"/>
          <w:sz w:val="34"/>
          <w:szCs w:val="34"/>
          <w:u w:val="none"/>
        </w:rPr>
        <w:t>一是严守生态保护不放松。</w:t>
      </w:r>
      <w:r>
        <w:rPr>
          <w:rFonts w:hint="eastAsia" w:ascii="仿宋" w:hAnsi="仿宋" w:eastAsia="仿宋" w:cs="仿宋"/>
          <w:color w:val="auto"/>
          <w:sz w:val="34"/>
          <w:szCs w:val="34"/>
          <w:u w:val="none"/>
        </w:rPr>
        <w:t>认真落实碳达峰、碳中和部署要求，完成能耗双控目标任务。督促企业做好VOCs有机废气收集处理、做好锅炉等设备的废气治理工作，进一步改善空气质量。加快完成金门工业园区污水治理基础设施建设，持续推进银洲湖、虎跳门水道岸线整治提升行动。加强农业面源污染防治，推进农药化肥使用零增长行动。实施重要生态区域保护和修复工程，全面落实河长制林长制，完善管理长效机制。</w:t>
      </w:r>
      <w:bookmarkStart w:id="40" w:name="bookmark22"/>
      <w:bookmarkEnd w:id="40"/>
      <w:r>
        <w:rPr>
          <w:rFonts w:hint="eastAsia" w:ascii="仿宋" w:hAnsi="仿宋" w:eastAsia="仿宋" w:cs="仿宋"/>
          <w:color w:val="auto"/>
          <w:sz w:val="34"/>
          <w:szCs w:val="34"/>
          <w:u w:val="none"/>
          <w:lang w:eastAsia="zh-CN"/>
        </w:rPr>
        <w:t>配合</w:t>
      </w:r>
      <w:r>
        <w:rPr>
          <w:rFonts w:hint="eastAsia" w:ascii="仿宋" w:hAnsi="仿宋" w:eastAsia="仿宋" w:cs="仿宋"/>
          <w:color w:val="auto"/>
          <w:sz w:val="34"/>
          <w:szCs w:val="34"/>
          <w:u w:val="none"/>
        </w:rPr>
        <w:t>推进固废项目落地建设，力促垃圾分类和减量化。完善</w:t>
      </w:r>
      <w:r>
        <w:rPr>
          <w:rFonts w:hint="eastAsia" w:ascii="仿宋" w:hAnsi="仿宋" w:eastAsia="仿宋" w:cs="仿宋"/>
          <w:color w:val="auto"/>
          <w:sz w:val="34"/>
          <w:szCs w:val="34"/>
          <w:u w:val="none"/>
          <w:lang w:eastAsia="zh-CN"/>
        </w:rPr>
        <w:t>城乡</w:t>
      </w:r>
      <w:r>
        <w:rPr>
          <w:rFonts w:hint="eastAsia" w:ascii="仿宋" w:hAnsi="仿宋" w:eastAsia="仿宋" w:cs="仿宋"/>
          <w:color w:val="auto"/>
          <w:sz w:val="34"/>
          <w:szCs w:val="34"/>
          <w:u w:val="none"/>
        </w:rPr>
        <w:t>污水管网建设，不断提升污水处理能力。</w:t>
      </w:r>
      <w:r>
        <w:rPr>
          <w:rFonts w:hint="eastAsia" w:ascii="仿宋" w:hAnsi="仿宋" w:eastAsia="仿宋" w:cs="仿宋"/>
          <w:b/>
          <w:color w:val="auto"/>
          <w:sz w:val="34"/>
          <w:szCs w:val="34"/>
          <w:u w:val="none"/>
        </w:rPr>
        <w:t>二是坚守安全红线不懈怠。</w:t>
      </w:r>
      <w:r>
        <w:rPr>
          <w:rFonts w:hint="eastAsia" w:ascii="仿宋" w:hAnsi="仿宋" w:eastAsia="仿宋" w:cs="仿宋"/>
          <w:color w:val="auto"/>
          <w:sz w:val="34"/>
          <w:szCs w:val="34"/>
          <w:u w:val="none"/>
        </w:rPr>
        <w:t>强化安全生产责任制落实，完善应急管理体系，</w:t>
      </w:r>
      <w:r>
        <w:rPr>
          <w:rFonts w:hint="eastAsia" w:ascii="仿宋" w:hAnsi="仿宋" w:eastAsia="仿宋" w:cs="仿宋"/>
          <w:color w:val="auto"/>
          <w:sz w:val="34"/>
          <w:szCs w:val="34"/>
          <w:u w:val="none"/>
          <w:lang w:eastAsia="zh-CN"/>
        </w:rPr>
        <w:t>组建壮大镇、村应急人员队伍，</w:t>
      </w:r>
      <w:r>
        <w:rPr>
          <w:rFonts w:hint="eastAsia" w:ascii="仿宋" w:hAnsi="仿宋" w:eastAsia="仿宋" w:cs="仿宋"/>
          <w:color w:val="auto"/>
          <w:sz w:val="34"/>
          <w:szCs w:val="34"/>
          <w:u w:val="none"/>
        </w:rPr>
        <w:t>分区分类、精准有效加强</w:t>
      </w:r>
      <w:r>
        <w:rPr>
          <w:rFonts w:hint="eastAsia" w:ascii="仿宋" w:hAnsi="仿宋" w:eastAsia="仿宋" w:cs="仿宋"/>
          <w:color w:val="auto"/>
          <w:sz w:val="34"/>
          <w:szCs w:val="34"/>
          <w:u w:val="none"/>
          <w:lang w:eastAsia="zh-CN"/>
        </w:rPr>
        <w:t>应急管理工作</w:t>
      </w:r>
      <w:r>
        <w:rPr>
          <w:rFonts w:hint="eastAsia" w:ascii="仿宋" w:hAnsi="仿宋" w:eastAsia="仿宋" w:cs="仿宋"/>
          <w:color w:val="auto"/>
          <w:sz w:val="34"/>
          <w:szCs w:val="34"/>
          <w:u w:val="none"/>
        </w:rPr>
        <w:t>。全面推行执法公示、全过程记录、重大执法决定法制审核制度</w:t>
      </w:r>
      <w:r>
        <w:rPr>
          <w:rFonts w:hint="eastAsia" w:ascii="仿宋" w:hAnsi="仿宋" w:eastAsia="仿宋" w:cs="仿宋"/>
          <w:bCs w:val="0"/>
          <w:iCs w:val="0"/>
          <w:color w:val="auto"/>
          <w:kern w:val="2"/>
          <w:sz w:val="34"/>
          <w:szCs w:val="34"/>
          <w:u w:val="none"/>
          <w:lang w:val="en-US" w:eastAsia="zh-CN" w:bidi="ar-SA"/>
        </w:rPr>
        <w:t>。扎实推进消防工作体制改革，加强镇村消防专业人员配备和基础设施建设。持续做</w:t>
      </w:r>
      <w:r>
        <w:rPr>
          <w:rFonts w:hint="eastAsia" w:ascii="仿宋" w:hAnsi="仿宋" w:eastAsia="仿宋" w:cs="仿宋"/>
          <w:color w:val="auto"/>
          <w:sz w:val="34"/>
          <w:szCs w:val="34"/>
          <w:u w:val="none"/>
        </w:rPr>
        <w:t>好“三防”工作</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加快</w:t>
      </w:r>
      <w:r>
        <w:rPr>
          <w:rFonts w:hint="eastAsia" w:ascii="仿宋" w:hAnsi="仿宋" w:eastAsia="仿宋" w:cs="仿宋"/>
          <w:color w:val="auto"/>
          <w:sz w:val="34"/>
          <w:szCs w:val="34"/>
          <w:u w:val="none"/>
          <w:lang w:eastAsia="zh-CN"/>
        </w:rPr>
        <w:t>实施</w:t>
      </w:r>
      <w:r>
        <w:rPr>
          <w:rFonts w:hint="eastAsia" w:ascii="仿宋" w:hAnsi="仿宋" w:eastAsia="仿宋" w:cs="仿宋"/>
          <w:color w:val="auto"/>
          <w:sz w:val="34"/>
          <w:szCs w:val="34"/>
          <w:u w:val="none"/>
        </w:rPr>
        <w:t>沙堆冲综合整治工程、独联万丰围北堤至鹅溪长山堤防新建防浪墙工程等系列水利项目，提升</w:t>
      </w:r>
      <w:r>
        <w:rPr>
          <w:rFonts w:hint="eastAsia" w:ascii="仿宋" w:hAnsi="仿宋" w:eastAsia="仿宋" w:cs="仿宋"/>
          <w:color w:val="auto"/>
          <w:sz w:val="34"/>
          <w:szCs w:val="34"/>
          <w:u w:val="none"/>
          <w:lang w:eastAsia="zh-CN"/>
        </w:rPr>
        <w:t>全镇</w:t>
      </w:r>
      <w:r>
        <w:rPr>
          <w:rFonts w:hint="eastAsia" w:ascii="仿宋" w:hAnsi="仿宋" w:eastAsia="仿宋" w:cs="仿宋"/>
          <w:color w:val="auto"/>
          <w:sz w:val="34"/>
          <w:szCs w:val="34"/>
          <w:u w:val="none"/>
        </w:rPr>
        <w:t>水利保障能力。</w:t>
      </w:r>
      <w:r>
        <w:rPr>
          <w:rFonts w:hint="eastAsia" w:ascii="仿宋" w:hAnsi="仿宋" w:eastAsia="仿宋" w:cs="仿宋"/>
          <w:b/>
          <w:color w:val="auto"/>
          <w:sz w:val="34"/>
          <w:szCs w:val="34"/>
          <w:u w:val="none"/>
        </w:rPr>
        <w:t>三是紧抓社会治理不松劲。</w:t>
      </w:r>
      <w:r>
        <w:rPr>
          <w:rFonts w:hint="eastAsia" w:ascii="仿宋" w:hAnsi="仿宋" w:eastAsia="仿宋" w:cs="仿宋"/>
          <w:color w:val="auto"/>
          <w:sz w:val="34"/>
          <w:szCs w:val="34"/>
          <w:u w:val="none"/>
        </w:rPr>
        <w:t>常态化、长效化推进全国文明城市建设工作。充分发挥“信访超市”“全科网格”作用，实现矛盾纠纷、群众信访、诉源治理“就地解决”。建立健全扫黑除恶常态化机制，严厉打击各类违法犯罪行为，全力维护社会和谐稳定。落实吸毒人员、复吸人员管控措施，最大限度防范化解涉毒风险隐患。</w:t>
      </w:r>
    </w:p>
    <w:p>
      <w:pPr>
        <w:pageBreakBefore w:val="0"/>
        <w:kinsoku/>
        <w:wordWrap/>
        <w:overflowPunct/>
        <w:topLinePunct w:val="0"/>
        <w:bidi w:val="0"/>
        <w:snapToGrid/>
        <w:spacing w:line="600" w:lineRule="exact"/>
        <w:ind w:firstLine="683" w:firstLineChars="200"/>
        <w:textAlignment w:val="auto"/>
        <w:rPr>
          <w:rFonts w:hint="eastAsia" w:ascii="楷体" w:hAnsi="楷体" w:eastAsia="楷体" w:cs="楷体"/>
          <w:b/>
          <w:bCs/>
          <w:color w:val="auto"/>
          <w:sz w:val="34"/>
          <w:szCs w:val="34"/>
          <w:u w:val="none"/>
        </w:rPr>
      </w:pPr>
      <w:r>
        <w:rPr>
          <w:rFonts w:hint="eastAsia" w:ascii="楷体" w:hAnsi="楷体" w:eastAsia="楷体" w:cs="楷体"/>
          <w:b/>
          <w:bCs/>
          <w:color w:val="auto"/>
          <w:sz w:val="34"/>
          <w:szCs w:val="34"/>
          <w:u w:val="none"/>
        </w:rPr>
        <w:t>（四）聚焦民生提标扩面，打造民心工程，在增进民生福祉上实现新提升。</w:t>
      </w:r>
    </w:p>
    <w:p>
      <w:pPr>
        <w:pStyle w:val="11"/>
        <w:pageBreakBefore w:val="0"/>
        <w:kinsoku/>
        <w:wordWrap/>
        <w:overflowPunct/>
        <w:topLinePunct w:val="0"/>
        <w:bidi w:val="0"/>
        <w:snapToGrid/>
        <w:spacing w:line="600" w:lineRule="exact"/>
        <w:textAlignment w:val="auto"/>
        <w:rPr>
          <w:rFonts w:hint="eastAsia" w:ascii="仿宋" w:hAnsi="仿宋" w:eastAsia="仿宋" w:cs="仿宋"/>
          <w:color w:val="auto"/>
          <w:sz w:val="34"/>
          <w:szCs w:val="34"/>
          <w:u w:val="none"/>
          <w:lang w:eastAsia="zh-CN"/>
        </w:rPr>
      </w:pPr>
      <w:r>
        <w:rPr>
          <w:rFonts w:hint="eastAsia" w:ascii="仿宋" w:hAnsi="仿宋" w:eastAsia="仿宋" w:cs="仿宋"/>
          <w:b/>
          <w:bCs/>
          <w:color w:val="auto"/>
          <w:sz w:val="34"/>
          <w:szCs w:val="34"/>
          <w:u w:val="none"/>
        </w:rPr>
        <w:t>一是紧抓公共卫生，让共建共享更可靠。</w:t>
      </w:r>
      <w:r>
        <w:rPr>
          <w:rFonts w:hint="eastAsia" w:ascii="仿宋" w:hAnsi="仿宋" w:eastAsia="仿宋" w:cs="仿宋"/>
          <w:color w:val="auto"/>
          <w:sz w:val="34"/>
          <w:szCs w:val="34"/>
          <w:u w:val="none"/>
        </w:rPr>
        <w:t>常态化落实疫情防控各项工作，完善疫情局部爆发应急处置流程，提升公共卫生应急处置能力。进一步巩固省卫生镇创建成果，努力争创国家卫生镇。“十四五”期间至少</w:t>
      </w:r>
      <w:r>
        <w:rPr>
          <w:rFonts w:hint="eastAsia" w:ascii="仿宋" w:hAnsi="仿宋" w:eastAsia="仿宋" w:cs="仿宋"/>
          <w:color w:val="auto"/>
          <w:sz w:val="34"/>
          <w:szCs w:val="34"/>
          <w:u w:val="none"/>
          <w:lang w:eastAsia="zh-CN"/>
        </w:rPr>
        <w:t>争创</w:t>
      </w:r>
      <w:r>
        <w:rPr>
          <w:rFonts w:hint="eastAsia" w:ascii="仿宋" w:hAnsi="仿宋" w:eastAsia="仿宋" w:cs="仿宋"/>
          <w:color w:val="auto"/>
          <w:sz w:val="34"/>
          <w:szCs w:val="34"/>
          <w:u w:val="none"/>
        </w:rPr>
        <w:t>1个区级示范健康村。大力推广发展“浮针疗法”特色中医技术。</w:t>
      </w:r>
      <w:r>
        <w:rPr>
          <w:rFonts w:hint="eastAsia" w:ascii="仿宋" w:hAnsi="仿宋" w:eastAsia="仿宋" w:cs="仿宋"/>
          <w:b/>
          <w:bCs/>
          <w:color w:val="auto"/>
          <w:sz w:val="34"/>
          <w:szCs w:val="34"/>
          <w:u w:val="none"/>
        </w:rPr>
        <w:t>二是完善公共服务，让共建共享更实在。</w:t>
      </w:r>
      <w:r>
        <w:rPr>
          <w:rFonts w:hint="eastAsia" w:ascii="仿宋" w:hAnsi="仿宋" w:eastAsia="仿宋" w:cs="仿宋"/>
          <w:color w:val="auto"/>
          <w:sz w:val="34"/>
          <w:szCs w:val="34"/>
          <w:u w:val="none"/>
        </w:rPr>
        <w:t>加快制定全镇“四好农村路”建设五年计划，优化升级农村路网结构</w:t>
      </w:r>
      <w:r>
        <w:rPr>
          <w:rFonts w:hint="eastAsia" w:ascii="仿宋" w:hAnsi="仿宋" w:eastAsia="仿宋" w:cs="仿宋"/>
          <w:color w:val="auto"/>
          <w:sz w:val="34"/>
          <w:szCs w:val="34"/>
          <w:u w:val="none"/>
          <w:lang w:eastAsia="zh-CN"/>
        </w:rPr>
        <w:t>，</w:t>
      </w:r>
      <w:r>
        <w:rPr>
          <w:rFonts w:hint="eastAsia" w:ascii="仿宋" w:hAnsi="仿宋" w:eastAsia="仿宋" w:cs="仿宋"/>
          <w:color w:val="auto"/>
          <w:sz w:val="34"/>
          <w:szCs w:val="34"/>
          <w:u w:val="none"/>
        </w:rPr>
        <w:t>加快建设沙堆梅阁四合一客运站，为群众提供更便捷的交通服务。逐步推进“旧房改造”，优先选择一批符合实施条件的旧房列入实施计划，不断提高村民的住房安全。</w:t>
      </w:r>
      <w:r>
        <w:rPr>
          <w:rFonts w:hint="eastAsia" w:ascii="仿宋" w:hAnsi="仿宋" w:eastAsia="仿宋" w:cs="仿宋"/>
          <w:color w:val="auto"/>
          <w:sz w:val="34"/>
          <w:szCs w:val="34"/>
          <w:u w:val="none"/>
          <w:lang w:val="zh-CN"/>
        </w:rPr>
        <w:t>建立多元化养老服务体系</w:t>
      </w:r>
      <w:r>
        <w:rPr>
          <w:rFonts w:hint="eastAsia" w:ascii="仿宋" w:hAnsi="仿宋" w:eastAsia="仿宋" w:cs="仿宋"/>
          <w:color w:val="auto"/>
          <w:sz w:val="34"/>
          <w:szCs w:val="34"/>
          <w:u w:val="none"/>
        </w:rPr>
        <w:t>，利用</w:t>
      </w:r>
      <w:r>
        <w:rPr>
          <w:rFonts w:hint="eastAsia" w:ascii="仿宋" w:hAnsi="仿宋" w:eastAsia="仿宋" w:cs="仿宋"/>
          <w:color w:val="auto"/>
          <w:sz w:val="34"/>
          <w:szCs w:val="34"/>
          <w:highlight w:val="none"/>
          <w:u w:val="none"/>
        </w:rPr>
        <w:t>“医养</w:t>
      </w:r>
      <w:r>
        <w:rPr>
          <w:rFonts w:hint="eastAsia" w:ascii="仿宋" w:hAnsi="仿宋" w:eastAsia="仿宋" w:cs="仿宋"/>
          <w:color w:val="auto"/>
          <w:sz w:val="34"/>
          <w:szCs w:val="34"/>
          <w:highlight w:val="none"/>
          <w:u w:val="none"/>
          <w:lang w:eastAsia="zh-CN"/>
        </w:rPr>
        <w:t>结合</w:t>
      </w:r>
      <w:r>
        <w:rPr>
          <w:rFonts w:hint="eastAsia" w:ascii="仿宋" w:hAnsi="仿宋" w:eastAsia="仿宋" w:cs="仿宋"/>
          <w:color w:val="auto"/>
          <w:sz w:val="34"/>
          <w:szCs w:val="34"/>
          <w:highlight w:val="none"/>
          <w:u w:val="none"/>
        </w:rPr>
        <w:t>”</w:t>
      </w:r>
      <w:r>
        <w:rPr>
          <w:rFonts w:hint="eastAsia" w:ascii="仿宋" w:hAnsi="仿宋" w:eastAsia="仿宋" w:cs="仿宋"/>
          <w:color w:val="auto"/>
          <w:sz w:val="34"/>
          <w:szCs w:val="34"/>
          <w:u w:val="none"/>
        </w:rPr>
        <w:t>的发展模式推动养老服务质量提高，力争到2025年底，养老机构护理型床位占比达到55%以上。</w:t>
      </w:r>
      <w:r>
        <w:rPr>
          <w:rFonts w:hint="eastAsia" w:ascii="仿宋" w:hAnsi="仿宋" w:eastAsia="仿宋" w:cs="仿宋"/>
          <w:b/>
          <w:bCs/>
          <w:color w:val="auto"/>
          <w:sz w:val="34"/>
          <w:szCs w:val="34"/>
          <w:u w:val="none"/>
        </w:rPr>
        <w:t>三是增强保障能力，让共建共享更充分。</w:t>
      </w:r>
      <w:r>
        <w:rPr>
          <w:rFonts w:hint="eastAsia" w:ascii="仿宋" w:hAnsi="仿宋" w:eastAsia="仿宋" w:cs="仿宋"/>
          <w:color w:val="auto"/>
          <w:sz w:val="34"/>
          <w:szCs w:val="34"/>
          <w:u w:val="none"/>
        </w:rPr>
        <w:t>进一步把好最低生活保障审批关，做好低保的动态管理工作，全面做好特困人员、残疾人等重点人群兜底保障工作。全力提升社会福利服务中心的服务质量、管理水平。落实“双百工程”，实现全镇社会工作服务站（点）100%覆盖、困难群众和特殊群体社会工作服务100%覆盖。对就业困难人员实行实名制动态管理和分类帮扶，确保“零就业”家庭、最低生活保障家庭等困难家庭至少一人实现就业。</w:t>
      </w:r>
      <w:r>
        <w:rPr>
          <w:rFonts w:hint="eastAsia" w:ascii="仿宋" w:hAnsi="仿宋" w:eastAsia="仿宋" w:cs="仿宋"/>
          <w:b/>
          <w:bCs/>
          <w:color w:val="auto"/>
          <w:sz w:val="34"/>
          <w:szCs w:val="34"/>
          <w:u w:val="none"/>
        </w:rPr>
        <w:t>四是繁荣社会事业，让共建共享更丰富。</w:t>
      </w:r>
      <w:r>
        <w:rPr>
          <w:rFonts w:hint="eastAsia" w:ascii="仿宋" w:hAnsi="仿宋" w:eastAsia="仿宋" w:cs="仿宋"/>
          <w:color w:val="auto"/>
          <w:sz w:val="34"/>
          <w:szCs w:val="34"/>
          <w:u w:val="none"/>
        </w:rPr>
        <w:t>全力推动“双减”工作，加快</w:t>
      </w:r>
      <w:r>
        <w:rPr>
          <w:rFonts w:hint="eastAsia" w:ascii="仿宋" w:hAnsi="仿宋" w:eastAsia="仿宋" w:cs="仿宋"/>
          <w:color w:val="auto"/>
          <w:sz w:val="34"/>
          <w:szCs w:val="34"/>
          <w:u w:val="none"/>
          <w:lang w:eastAsia="zh-CN"/>
        </w:rPr>
        <w:t>配备完善</w:t>
      </w:r>
      <w:r>
        <w:rPr>
          <w:rFonts w:hint="eastAsia" w:ascii="仿宋" w:hAnsi="仿宋" w:eastAsia="仿宋" w:cs="仿宋"/>
          <w:color w:val="auto"/>
          <w:sz w:val="34"/>
          <w:szCs w:val="34"/>
          <w:u w:val="none"/>
        </w:rPr>
        <w:t>校内课后服务设施设备，提升教育教学质量。持续抓好省教育强镇复评考核，加大教育基础设施投入。试点打造中心小学和独联学校特色文化，深入推行校园文化建设。完善农家书屋</w:t>
      </w:r>
      <w:r>
        <w:rPr>
          <w:rFonts w:hint="eastAsia" w:ascii="仿宋" w:hAnsi="仿宋" w:eastAsia="仿宋" w:cs="仿宋"/>
          <w:color w:val="auto"/>
          <w:sz w:val="34"/>
          <w:szCs w:val="34"/>
          <w:u w:val="none"/>
          <w:lang w:val="zh-CN"/>
        </w:rPr>
        <w:t>、电子阅览室、文化艺术展览室等文化设施配套，建成镇村“十分钟文化圈”；</w:t>
      </w:r>
      <w:r>
        <w:rPr>
          <w:rFonts w:hint="eastAsia" w:ascii="仿宋" w:hAnsi="仿宋" w:eastAsia="仿宋" w:cs="仿宋"/>
          <w:color w:val="auto"/>
          <w:sz w:val="34"/>
          <w:szCs w:val="34"/>
          <w:u w:val="none"/>
        </w:rPr>
        <w:t>整合我镇醒狮文化、曲艺表演等传统技艺资源，积极打造“我们的节日”活动，营造全民参与文化活动的氛围。</w:t>
      </w:r>
      <w:r>
        <w:rPr>
          <w:rFonts w:hint="eastAsia" w:ascii="仿宋" w:hAnsi="仿宋" w:eastAsia="仿宋" w:cs="仿宋"/>
          <w:color w:val="auto"/>
          <w:sz w:val="34"/>
          <w:szCs w:val="34"/>
          <w:u w:val="none"/>
          <w:lang w:eastAsia="zh-CN"/>
        </w:rPr>
        <w:t>继续加大力度</w:t>
      </w:r>
      <w:r>
        <w:rPr>
          <w:rFonts w:hint="eastAsia" w:ascii="仿宋" w:hAnsi="仿宋" w:eastAsia="仿宋" w:cs="仿宋"/>
          <w:color w:val="auto"/>
          <w:sz w:val="34"/>
          <w:szCs w:val="34"/>
          <w:u w:val="none"/>
        </w:rPr>
        <w:t>支持</w:t>
      </w:r>
      <w:r>
        <w:rPr>
          <w:rFonts w:hint="eastAsia" w:ascii="仿宋" w:hAnsi="仿宋" w:eastAsia="仿宋" w:cs="仿宋"/>
          <w:color w:val="auto"/>
          <w:sz w:val="34"/>
          <w:szCs w:val="34"/>
          <w:u w:val="none"/>
          <w:lang w:eastAsia="zh-CN"/>
        </w:rPr>
        <w:t>侨务、</w:t>
      </w:r>
      <w:r>
        <w:rPr>
          <w:rFonts w:hint="eastAsia" w:ascii="仿宋" w:hAnsi="仿宋" w:eastAsia="仿宋" w:cs="仿宋"/>
          <w:color w:val="auto"/>
          <w:sz w:val="34"/>
          <w:szCs w:val="34"/>
          <w:u w:val="none"/>
        </w:rPr>
        <w:t>档案</w:t>
      </w:r>
      <w:r>
        <w:rPr>
          <w:rFonts w:hint="eastAsia" w:ascii="仿宋" w:hAnsi="仿宋" w:eastAsia="仿宋" w:cs="仿宋"/>
          <w:color w:val="auto"/>
          <w:kern w:val="0"/>
          <w:sz w:val="34"/>
          <w:szCs w:val="34"/>
          <w:u w:val="none"/>
        </w:rPr>
        <w:t>、妇女儿童</w:t>
      </w:r>
      <w:r>
        <w:rPr>
          <w:rFonts w:hint="eastAsia" w:ascii="仿宋" w:hAnsi="仿宋" w:eastAsia="仿宋" w:cs="仿宋"/>
          <w:color w:val="auto"/>
          <w:kern w:val="0"/>
          <w:sz w:val="34"/>
          <w:szCs w:val="34"/>
          <w:u w:val="none"/>
          <w:lang w:eastAsia="zh-CN"/>
        </w:rPr>
        <w:t>等社会事业健康发展。</w:t>
      </w:r>
    </w:p>
    <w:p>
      <w:pPr>
        <w:pStyle w:val="11"/>
        <w:pageBreakBefore w:val="0"/>
        <w:kinsoku/>
        <w:wordWrap/>
        <w:overflowPunct/>
        <w:topLinePunct w:val="0"/>
        <w:bidi w:val="0"/>
        <w:snapToGrid/>
        <w:spacing w:line="600" w:lineRule="exact"/>
        <w:textAlignment w:val="auto"/>
        <w:rPr>
          <w:rFonts w:hint="eastAsia" w:ascii="楷体" w:hAnsi="楷体" w:eastAsia="楷体" w:cs="楷体"/>
          <w:b/>
          <w:bCs/>
          <w:color w:val="auto"/>
          <w:sz w:val="34"/>
          <w:szCs w:val="34"/>
          <w:u w:val="none"/>
        </w:rPr>
      </w:pPr>
      <w:r>
        <w:rPr>
          <w:rFonts w:hint="eastAsia" w:ascii="楷体" w:hAnsi="楷体" w:eastAsia="楷体" w:cs="楷体"/>
          <w:b/>
          <w:bCs/>
          <w:color w:val="auto"/>
          <w:sz w:val="34"/>
          <w:szCs w:val="34"/>
          <w:u w:val="none"/>
        </w:rPr>
        <w:t>（五）聚焦政府提速提质，推动作风转变，在增强机关效能上实现新提升。</w:t>
      </w:r>
    </w:p>
    <w:p>
      <w:pPr>
        <w:pStyle w:val="8"/>
        <w:pageBreakBefore w:val="0"/>
        <w:pBdr>
          <w:right w:val="none" w:color="auto" w:sz="0" w:space="0"/>
        </w:pBdr>
        <w:kinsoku/>
        <w:wordWrap/>
        <w:overflowPunct/>
        <w:topLinePunct w:val="0"/>
        <w:bidi w:val="0"/>
        <w:snapToGrid/>
        <w:spacing w:line="600" w:lineRule="exact"/>
        <w:ind w:firstLine="643"/>
        <w:textAlignment w:val="auto"/>
        <w:rPr>
          <w:rFonts w:hint="eastAsia" w:ascii="仿宋" w:hAnsi="仿宋" w:eastAsia="仿宋" w:cs="仿宋"/>
          <w:bCs/>
          <w:kern w:val="0"/>
          <w:sz w:val="34"/>
          <w:szCs w:val="34"/>
        </w:rPr>
      </w:pPr>
      <w:r>
        <w:rPr>
          <w:rFonts w:hint="eastAsia" w:ascii="仿宋" w:hAnsi="仿宋" w:eastAsia="仿宋" w:cs="仿宋"/>
          <w:b/>
          <w:bCs/>
          <w:color w:val="auto"/>
          <w:sz w:val="34"/>
          <w:szCs w:val="34"/>
          <w:u w:val="none"/>
        </w:rPr>
        <w:t>一是突出政治引领。</w:t>
      </w:r>
      <w:r>
        <w:rPr>
          <w:rFonts w:hint="eastAsia" w:ascii="仿宋" w:hAnsi="仿宋" w:eastAsia="仿宋" w:cs="仿宋"/>
          <w:color w:val="auto"/>
          <w:sz w:val="34"/>
          <w:szCs w:val="34"/>
          <w:u w:val="none"/>
        </w:rPr>
        <w:t>坚持把党的政治建设摆在首位，立足“两个大局”，胸怀“国之大者”，不断提高政治判断力、政治领悟力、政治执行力。坚持从讲政治的高度谋划和推动经济工作，不折不扣把中央决策部署</w:t>
      </w:r>
      <w:r>
        <w:rPr>
          <w:rFonts w:hint="eastAsia" w:ascii="仿宋" w:hAnsi="仿宋" w:eastAsia="仿宋" w:cs="仿宋"/>
          <w:color w:val="auto"/>
          <w:sz w:val="34"/>
          <w:szCs w:val="34"/>
          <w:u w:val="none"/>
          <w:lang w:eastAsia="zh-CN"/>
        </w:rPr>
        <w:t>以及</w:t>
      </w:r>
      <w:r>
        <w:rPr>
          <w:rFonts w:hint="eastAsia" w:ascii="仿宋" w:hAnsi="仿宋" w:eastAsia="仿宋" w:cs="仿宋"/>
          <w:color w:val="auto"/>
          <w:sz w:val="34"/>
          <w:szCs w:val="34"/>
          <w:u w:val="none"/>
        </w:rPr>
        <w:t>省委、市委、区委</w:t>
      </w:r>
      <w:r>
        <w:rPr>
          <w:rFonts w:hint="eastAsia" w:ascii="仿宋" w:hAnsi="仿宋" w:eastAsia="仿宋" w:cs="仿宋"/>
          <w:color w:val="auto"/>
          <w:sz w:val="34"/>
          <w:szCs w:val="34"/>
          <w:u w:val="none"/>
          <w:lang w:eastAsia="zh-CN"/>
        </w:rPr>
        <w:t>和</w:t>
      </w:r>
      <w:r>
        <w:rPr>
          <w:rFonts w:hint="eastAsia" w:ascii="仿宋" w:hAnsi="仿宋" w:eastAsia="仿宋" w:cs="仿宋"/>
          <w:color w:val="auto"/>
          <w:sz w:val="34"/>
          <w:szCs w:val="34"/>
          <w:u w:val="none"/>
        </w:rPr>
        <w:t>镇委工作要求落地落实。进一步加强政府系统党的建设，始终把坚持和加强党的全面领导贯穿履职全过程，自觉接受镇人大法律监督。</w:t>
      </w:r>
      <w:r>
        <w:rPr>
          <w:rFonts w:hint="eastAsia" w:ascii="仿宋" w:hAnsi="仿宋" w:eastAsia="仿宋" w:cs="仿宋"/>
          <w:b/>
          <w:bCs/>
          <w:color w:val="auto"/>
          <w:sz w:val="34"/>
          <w:szCs w:val="34"/>
          <w:u w:val="none"/>
        </w:rPr>
        <w:t>二是严格依法行政。</w:t>
      </w:r>
      <w:r>
        <w:rPr>
          <w:rFonts w:hint="eastAsia" w:ascii="仿宋" w:hAnsi="仿宋" w:eastAsia="仿宋" w:cs="仿宋"/>
          <w:color w:val="auto"/>
          <w:sz w:val="34"/>
          <w:szCs w:val="34"/>
          <w:u w:val="none"/>
        </w:rPr>
        <w:t>认真贯彻习近平法治思想，坚持科学民主依法决策，深入推进法治政府、法治社会、法治文化建设，扎实开展“八五”普法工作，建设更高水平的法治沙堆。</w:t>
      </w:r>
      <w:r>
        <w:rPr>
          <w:rFonts w:hint="eastAsia" w:ascii="仿宋" w:hAnsi="仿宋" w:eastAsia="仿宋" w:cs="仿宋"/>
          <w:bCs/>
          <w:color w:val="auto"/>
          <w:sz w:val="34"/>
          <w:szCs w:val="34"/>
          <w:u w:val="none"/>
        </w:rPr>
        <w:t> </w:t>
      </w:r>
      <w:r>
        <w:rPr>
          <w:rFonts w:hint="eastAsia" w:ascii="仿宋" w:hAnsi="仿宋" w:eastAsia="仿宋" w:cs="仿宋"/>
          <w:b/>
          <w:bCs/>
          <w:color w:val="auto"/>
          <w:sz w:val="34"/>
          <w:szCs w:val="34"/>
          <w:u w:val="none"/>
        </w:rPr>
        <w:t>三是加强效能建设。</w:t>
      </w:r>
      <w:r>
        <w:rPr>
          <w:rFonts w:hint="eastAsia" w:ascii="仿宋" w:hAnsi="仿宋" w:eastAsia="仿宋" w:cs="仿宋"/>
          <w:bCs/>
          <w:color w:val="auto"/>
          <w:sz w:val="34"/>
          <w:szCs w:val="34"/>
          <w:u w:val="none"/>
        </w:rPr>
        <w:t>坚持“干字当头”</w:t>
      </w:r>
      <w:r>
        <w:rPr>
          <w:rFonts w:hint="eastAsia" w:ascii="仿宋" w:hAnsi="仿宋" w:eastAsia="仿宋" w:cs="仿宋"/>
          <w:b/>
          <w:bCs/>
          <w:color w:val="auto"/>
          <w:sz w:val="34"/>
          <w:szCs w:val="34"/>
          <w:u w:val="none"/>
        </w:rPr>
        <w:t>，</w:t>
      </w:r>
      <w:r>
        <w:rPr>
          <w:rFonts w:hint="eastAsia" w:ascii="仿宋" w:hAnsi="仿宋" w:eastAsia="仿宋" w:cs="仿宋"/>
          <w:bCs/>
          <w:color w:val="auto"/>
          <w:sz w:val="34"/>
          <w:szCs w:val="34"/>
          <w:u w:val="none"/>
        </w:rPr>
        <w:t>把狠抓落实、狠抓执行放在突出位置，将事关沙堆未来发展、群众关心关注的各项事业抓住、抓牢、抓好，实施清单式管理。</w:t>
      </w:r>
      <w:r>
        <w:rPr>
          <w:rFonts w:hint="eastAsia" w:ascii="仿宋" w:hAnsi="仿宋" w:eastAsia="仿宋" w:cs="仿宋"/>
          <w:bCs/>
          <w:color w:val="auto"/>
          <w:sz w:val="34"/>
          <w:szCs w:val="34"/>
          <w:u w:val="none"/>
          <w:lang w:eastAsia="zh-CN"/>
        </w:rPr>
        <w:t>持续</w:t>
      </w:r>
      <w:r>
        <w:rPr>
          <w:rFonts w:hint="eastAsia" w:ascii="仿宋" w:hAnsi="仿宋" w:eastAsia="仿宋" w:cs="仿宋"/>
          <w:bCs/>
          <w:color w:val="auto"/>
          <w:sz w:val="34"/>
          <w:szCs w:val="34"/>
          <w:u w:val="none"/>
        </w:rPr>
        <w:t>加强作风建设</w:t>
      </w:r>
      <w:r>
        <w:rPr>
          <w:rFonts w:hint="eastAsia" w:ascii="仿宋" w:hAnsi="仿宋" w:eastAsia="仿宋" w:cs="仿宋"/>
          <w:bCs/>
          <w:color w:val="auto"/>
          <w:sz w:val="34"/>
          <w:szCs w:val="34"/>
          <w:u w:val="none"/>
          <w:lang w:eastAsia="zh-CN"/>
        </w:rPr>
        <w:t>，</w:t>
      </w:r>
      <w:r>
        <w:rPr>
          <w:rFonts w:hint="eastAsia" w:ascii="仿宋" w:hAnsi="仿宋" w:eastAsia="仿宋" w:cs="仿宋"/>
          <w:bCs/>
          <w:color w:val="auto"/>
          <w:sz w:val="34"/>
          <w:szCs w:val="34"/>
          <w:u w:val="none"/>
        </w:rPr>
        <w:t>提高执行力，定期进行效能督查、跟踪问责、绩效考评，进一步完善镇村干部考核评价体系。深化简政放权、放管结合、优化服务改革，完善</w:t>
      </w:r>
      <w:r>
        <w:rPr>
          <w:rFonts w:hint="eastAsia" w:ascii="仿宋" w:hAnsi="仿宋" w:eastAsia="仿宋" w:cs="仿宋"/>
          <w:bCs/>
          <w:color w:val="auto"/>
          <w:sz w:val="34"/>
          <w:szCs w:val="34"/>
          <w:u w:val="none"/>
          <w:lang w:eastAsia="zh-CN"/>
        </w:rPr>
        <w:t>镇村</w:t>
      </w:r>
      <w:r>
        <w:rPr>
          <w:rFonts w:hint="eastAsia" w:ascii="仿宋" w:hAnsi="仿宋" w:eastAsia="仿宋" w:cs="仿宋"/>
          <w:bCs/>
          <w:color w:val="auto"/>
          <w:sz w:val="34"/>
          <w:szCs w:val="34"/>
          <w:u w:val="none"/>
        </w:rPr>
        <w:t>党群服务中心服务功能</w:t>
      </w:r>
      <w:r>
        <w:rPr>
          <w:rFonts w:hint="eastAsia" w:ascii="仿宋" w:hAnsi="仿宋" w:eastAsia="仿宋" w:cs="仿宋"/>
          <w:bCs/>
          <w:color w:val="auto"/>
          <w:sz w:val="34"/>
          <w:szCs w:val="34"/>
          <w:u w:val="none"/>
          <w:lang w:eastAsia="zh-CN"/>
        </w:rPr>
        <w:t>。大</w:t>
      </w:r>
      <w:r>
        <w:rPr>
          <w:rFonts w:hint="eastAsia" w:ascii="仿宋" w:hAnsi="仿宋" w:eastAsia="仿宋" w:cs="仿宋"/>
          <w:bCs/>
          <w:color w:val="auto"/>
          <w:sz w:val="34"/>
          <w:szCs w:val="34"/>
          <w:u w:val="none"/>
        </w:rPr>
        <w:t>力开展“扶企”“暖企”行动，践行亲清政商关系，提升服务效能。</w:t>
      </w:r>
      <w:r>
        <w:rPr>
          <w:rFonts w:hint="eastAsia" w:ascii="仿宋" w:hAnsi="仿宋" w:eastAsia="仿宋" w:cs="仿宋"/>
          <w:b/>
          <w:bCs/>
          <w:color w:val="auto"/>
          <w:sz w:val="34"/>
          <w:szCs w:val="34"/>
          <w:u w:val="none"/>
        </w:rPr>
        <w:t>四是坚持廉洁从政。</w:t>
      </w:r>
      <w:r>
        <w:rPr>
          <w:rFonts w:hint="eastAsia" w:ascii="仿宋" w:hAnsi="仿宋" w:eastAsia="仿宋" w:cs="仿宋"/>
          <w:color w:val="auto"/>
          <w:sz w:val="34"/>
          <w:szCs w:val="34"/>
          <w:u w:val="none"/>
        </w:rPr>
        <w:t>严格落实中央八项规定精神，加强政府项目、公共资源交易等廉政风险点防控，始终保持为民、务实、清廉的政治本色。把政府“过紧日子”作为长期方针，压减“三公”经费，优化支出结构，把钱用在促发展、惠民生的刀刃上。持续整治群众身边腐败和作风问题，营造风清气正的政治生态。</w:t>
      </w:r>
    </w:p>
    <w:sectPr>
      <w:footerReference r:id="rId4" w:type="default"/>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ascii="Times New Roman" w:hAnsi="Times New Roman" w:eastAsia="仿宋"/>
                              <w:sz w:val="24"/>
                              <w:szCs w:val="24"/>
                            </w:rPr>
                          </w:pPr>
                          <w:r>
                            <w:rPr>
                              <w:rFonts w:ascii="Times New Roman" w:hAnsi="Times New Roman" w:eastAsia="仿宋"/>
                              <w:sz w:val="24"/>
                              <w:szCs w:val="24"/>
                            </w:rPr>
                            <w:t xml:space="preserve">— </w:t>
                          </w:r>
                          <w:r>
                            <w:rPr>
                              <w:rFonts w:ascii="Times New Roman" w:hAnsi="Times New Roman" w:eastAsia="仿宋"/>
                              <w:sz w:val="24"/>
                              <w:szCs w:val="24"/>
                            </w:rPr>
                            <w:fldChar w:fldCharType="begin"/>
                          </w:r>
                          <w:r>
                            <w:rPr>
                              <w:rFonts w:ascii="Times New Roman" w:hAnsi="Times New Roman" w:eastAsia="仿宋"/>
                              <w:sz w:val="24"/>
                              <w:szCs w:val="24"/>
                            </w:rPr>
                            <w:instrText xml:space="preserve"> PAGE  \* MERGEFORMAT </w:instrText>
                          </w:r>
                          <w:r>
                            <w:rPr>
                              <w:rFonts w:ascii="Times New Roman" w:hAnsi="Times New Roman" w:eastAsia="仿宋"/>
                              <w:sz w:val="24"/>
                              <w:szCs w:val="24"/>
                            </w:rPr>
                            <w:fldChar w:fldCharType="separate"/>
                          </w:r>
                          <w:r>
                            <w:rPr>
                              <w:rFonts w:ascii="Times New Roman" w:hAnsi="Times New Roman" w:eastAsia="仿宋"/>
                              <w:sz w:val="24"/>
                              <w:szCs w:val="24"/>
                            </w:rPr>
                            <w:t>23</w:t>
                          </w:r>
                          <w:r>
                            <w:rPr>
                              <w:rFonts w:ascii="Times New Roman" w:hAnsi="Times New Roman" w:eastAsia="仿宋"/>
                              <w:sz w:val="24"/>
                              <w:szCs w:val="24"/>
                            </w:rPr>
                            <w:fldChar w:fldCharType="end"/>
                          </w:r>
                          <w:r>
                            <w:rPr>
                              <w:rFonts w:ascii="Times New Roman" w:hAnsi="Times New Roman" w:eastAsia="仿宋"/>
                              <w:sz w:val="24"/>
                              <w:szCs w:val="24"/>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pStyle w:val="13"/>
                      <w:rPr>
                        <w:rFonts w:ascii="Times New Roman" w:hAnsi="Times New Roman" w:eastAsia="仿宋"/>
                        <w:sz w:val="24"/>
                        <w:szCs w:val="24"/>
                      </w:rPr>
                    </w:pPr>
                    <w:r>
                      <w:rPr>
                        <w:rFonts w:ascii="Times New Roman" w:hAnsi="Times New Roman" w:eastAsia="仿宋"/>
                        <w:sz w:val="24"/>
                        <w:szCs w:val="24"/>
                      </w:rPr>
                      <w:t xml:space="preserve">— </w:t>
                    </w:r>
                    <w:r>
                      <w:rPr>
                        <w:rFonts w:ascii="Times New Roman" w:hAnsi="Times New Roman" w:eastAsia="仿宋"/>
                        <w:sz w:val="24"/>
                        <w:szCs w:val="24"/>
                      </w:rPr>
                      <w:fldChar w:fldCharType="begin"/>
                    </w:r>
                    <w:r>
                      <w:rPr>
                        <w:rFonts w:ascii="Times New Roman" w:hAnsi="Times New Roman" w:eastAsia="仿宋"/>
                        <w:sz w:val="24"/>
                        <w:szCs w:val="24"/>
                      </w:rPr>
                      <w:instrText xml:space="preserve"> PAGE  \* MERGEFORMAT </w:instrText>
                    </w:r>
                    <w:r>
                      <w:rPr>
                        <w:rFonts w:ascii="Times New Roman" w:hAnsi="Times New Roman" w:eastAsia="仿宋"/>
                        <w:sz w:val="24"/>
                        <w:szCs w:val="24"/>
                      </w:rPr>
                      <w:fldChar w:fldCharType="separate"/>
                    </w:r>
                    <w:r>
                      <w:rPr>
                        <w:rFonts w:ascii="Times New Roman" w:hAnsi="Times New Roman" w:eastAsia="仿宋"/>
                        <w:sz w:val="24"/>
                        <w:szCs w:val="24"/>
                      </w:rPr>
                      <w:t>23</w:t>
                    </w:r>
                    <w:r>
                      <w:rPr>
                        <w:rFonts w:ascii="Times New Roman" w:hAnsi="Times New Roman" w:eastAsia="仿宋"/>
                        <w:sz w:val="24"/>
                        <w:szCs w:val="24"/>
                      </w:rPr>
                      <w:fldChar w:fldCharType="end"/>
                    </w:r>
                    <w:r>
                      <w:rPr>
                        <w:rFonts w:ascii="Times New Roman" w:hAnsi="Times New Roman" w:eastAsia="仿宋"/>
                        <w:sz w:val="24"/>
                        <w:szCs w:val="24"/>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888EA"/>
    <w:multiLevelType w:val="singleLevel"/>
    <w:tmpl w:val="2E5888EA"/>
    <w:lvl w:ilvl="0" w:tentative="0">
      <w:start w:val="1"/>
      <w:numFmt w:val="chineseCounting"/>
      <w:suff w:val="space"/>
      <w:lvlText w:val="第%1节"/>
      <w:lvlJc w:val="left"/>
      <w:rPr>
        <w:rFonts w:hint="eastAsia"/>
      </w:rPr>
    </w:lvl>
  </w:abstractNum>
  <w:abstractNum w:abstractNumId="1">
    <w:nsid w:val="38C57E17"/>
    <w:multiLevelType w:val="singleLevel"/>
    <w:tmpl w:val="38C57E17"/>
    <w:lvl w:ilvl="0" w:tentative="0">
      <w:start w:val="1"/>
      <w:numFmt w:val="chineseCounting"/>
      <w:suff w:val="space"/>
      <w:lvlText w:val="第%1章"/>
      <w:lvlJc w:val="left"/>
      <w:rPr>
        <w:rFonts w:hint="eastAsia"/>
      </w:rPr>
    </w:lvl>
  </w:abstractNum>
  <w:abstractNum w:abstractNumId="2">
    <w:nsid w:val="71A95986"/>
    <w:multiLevelType w:val="singleLevel"/>
    <w:tmpl w:val="71A95986"/>
    <w:lvl w:ilvl="0" w:tentative="0">
      <w:start w:val="1"/>
      <w:numFmt w:val="chineseCounting"/>
      <w:suff w:val="space"/>
      <w:lvlText w:val="第%1节"/>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F2"/>
    <w:rsid w:val="00012D7F"/>
    <w:rsid w:val="000130D7"/>
    <w:rsid w:val="00015C71"/>
    <w:rsid w:val="00020E38"/>
    <w:rsid w:val="00022E65"/>
    <w:rsid w:val="00023A8B"/>
    <w:rsid w:val="000257AB"/>
    <w:rsid w:val="00030172"/>
    <w:rsid w:val="000321AC"/>
    <w:rsid w:val="0004133C"/>
    <w:rsid w:val="00044744"/>
    <w:rsid w:val="000519FD"/>
    <w:rsid w:val="0005280B"/>
    <w:rsid w:val="00052B6C"/>
    <w:rsid w:val="00060438"/>
    <w:rsid w:val="000630AB"/>
    <w:rsid w:val="00063ADC"/>
    <w:rsid w:val="00065AB5"/>
    <w:rsid w:val="0006667F"/>
    <w:rsid w:val="00066AD0"/>
    <w:rsid w:val="00070377"/>
    <w:rsid w:val="00075712"/>
    <w:rsid w:val="000806F8"/>
    <w:rsid w:val="00086D47"/>
    <w:rsid w:val="00090731"/>
    <w:rsid w:val="00090932"/>
    <w:rsid w:val="00090EAA"/>
    <w:rsid w:val="00091BE9"/>
    <w:rsid w:val="00095D47"/>
    <w:rsid w:val="00097301"/>
    <w:rsid w:val="00097DE6"/>
    <w:rsid w:val="000A4E8C"/>
    <w:rsid w:val="000A51B9"/>
    <w:rsid w:val="000A7753"/>
    <w:rsid w:val="000A79D3"/>
    <w:rsid w:val="000A7E4F"/>
    <w:rsid w:val="000B0924"/>
    <w:rsid w:val="000B3C86"/>
    <w:rsid w:val="000B6EED"/>
    <w:rsid w:val="000C1509"/>
    <w:rsid w:val="000C1586"/>
    <w:rsid w:val="000C17A2"/>
    <w:rsid w:val="000C2E6E"/>
    <w:rsid w:val="000C6264"/>
    <w:rsid w:val="000C7EC8"/>
    <w:rsid w:val="000D0979"/>
    <w:rsid w:val="000D1F1B"/>
    <w:rsid w:val="000D20F4"/>
    <w:rsid w:val="000D6BE7"/>
    <w:rsid w:val="000E0608"/>
    <w:rsid w:val="000E18F4"/>
    <w:rsid w:val="000E690C"/>
    <w:rsid w:val="000E6CE4"/>
    <w:rsid w:val="000F22CB"/>
    <w:rsid w:val="000F2D13"/>
    <w:rsid w:val="001019AF"/>
    <w:rsid w:val="00102F40"/>
    <w:rsid w:val="0010407D"/>
    <w:rsid w:val="0010781C"/>
    <w:rsid w:val="00112F83"/>
    <w:rsid w:val="001135F5"/>
    <w:rsid w:val="00113941"/>
    <w:rsid w:val="00115A5B"/>
    <w:rsid w:val="00117715"/>
    <w:rsid w:val="00124F68"/>
    <w:rsid w:val="00125335"/>
    <w:rsid w:val="00125D41"/>
    <w:rsid w:val="00127A9D"/>
    <w:rsid w:val="001313EA"/>
    <w:rsid w:val="00132940"/>
    <w:rsid w:val="00133C5C"/>
    <w:rsid w:val="00141E15"/>
    <w:rsid w:val="00154778"/>
    <w:rsid w:val="0015556B"/>
    <w:rsid w:val="00155751"/>
    <w:rsid w:val="00155871"/>
    <w:rsid w:val="00156433"/>
    <w:rsid w:val="00156CE3"/>
    <w:rsid w:val="001650C2"/>
    <w:rsid w:val="00165689"/>
    <w:rsid w:val="00172A27"/>
    <w:rsid w:val="00180868"/>
    <w:rsid w:val="0018150F"/>
    <w:rsid w:val="001840AD"/>
    <w:rsid w:val="001921D6"/>
    <w:rsid w:val="00192859"/>
    <w:rsid w:val="00193C7A"/>
    <w:rsid w:val="0019492C"/>
    <w:rsid w:val="00195BC3"/>
    <w:rsid w:val="00196B52"/>
    <w:rsid w:val="001973A9"/>
    <w:rsid w:val="001A0374"/>
    <w:rsid w:val="001A13F7"/>
    <w:rsid w:val="001A2D42"/>
    <w:rsid w:val="001A4B90"/>
    <w:rsid w:val="001A6449"/>
    <w:rsid w:val="001B36A5"/>
    <w:rsid w:val="001B6770"/>
    <w:rsid w:val="001C0DC2"/>
    <w:rsid w:val="001C10E9"/>
    <w:rsid w:val="001C185F"/>
    <w:rsid w:val="001C3C8B"/>
    <w:rsid w:val="001C4BFA"/>
    <w:rsid w:val="001D1C37"/>
    <w:rsid w:val="001D3D62"/>
    <w:rsid w:val="001D4FCD"/>
    <w:rsid w:val="001E0CF4"/>
    <w:rsid w:val="001E1D4F"/>
    <w:rsid w:val="001E54AC"/>
    <w:rsid w:val="001E566B"/>
    <w:rsid w:val="001F0595"/>
    <w:rsid w:val="001F16C1"/>
    <w:rsid w:val="001F4367"/>
    <w:rsid w:val="00201A36"/>
    <w:rsid w:val="00204B98"/>
    <w:rsid w:val="00204EEC"/>
    <w:rsid w:val="00205478"/>
    <w:rsid w:val="00207ED9"/>
    <w:rsid w:val="00211079"/>
    <w:rsid w:val="00212D9A"/>
    <w:rsid w:val="002241C3"/>
    <w:rsid w:val="00226A67"/>
    <w:rsid w:val="00227D18"/>
    <w:rsid w:val="00232AB4"/>
    <w:rsid w:val="002339B0"/>
    <w:rsid w:val="00235784"/>
    <w:rsid w:val="00236297"/>
    <w:rsid w:val="00236606"/>
    <w:rsid w:val="00241E3B"/>
    <w:rsid w:val="00253EB8"/>
    <w:rsid w:val="00254AA9"/>
    <w:rsid w:val="0025760A"/>
    <w:rsid w:val="00263078"/>
    <w:rsid w:val="00264693"/>
    <w:rsid w:val="0026476C"/>
    <w:rsid w:val="002755B1"/>
    <w:rsid w:val="002802D4"/>
    <w:rsid w:val="002819F8"/>
    <w:rsid w:val="00285BC0"/>
    <w:rsid w:val="002903F9"/>
    <w:rsid w:val="0029242D"/>
    <w:rsid w:val="0029677E"/>
    <w:rsid w:val="002A5130"/>
    <w:rsid w:val="002A6400"/>
    <w:rsid w:val="002B0717"/>
    <w:rsid w:val="002B3EB6"/>
    <w:rsid w:val="002B7934"/>
    <w:rsid w:val="002C0453"/>
    <w:rsid w:val="002C13CF"/>
    <w:rsid w:val="002C1496"/>
    <w:rsid w:val="002C5446"/>
    <w:rsid w:val="002C669E"/>
    <w:rsid w:val="002C74A1"/>
    <w:rsid w:val="002D476E"/>
    <w:rsid w:val="002E1024"/>
    <w:rsid w:val="002E4D78"/>
    <w:rsid w:val="002E7E8A"/>
    <w:rsid w:val="002F16D6"/>
    <w:rsid w:val="002F1770"/>
    <w:rsid w:val="002F5136"/>
    <w:rsid w:val="0030044F"/>
    <w:rsid w:val="00300A70"/>
    <w:rsid w:val="00301E30"/>
    <w:rsid w:val="00301F85"/>
    <w:rsid w:val="00302000"/>
    <w:rsid w:val="00302494"/>
    <w:rsid w:val="00302CA1"/>
    <w:rsid w:val="003034B7"/>
    <w:rsid w:val="00304339"/>
    <w:rsid w:val="00304EF7"/>
    <w:rsid w:val="00312065"/>
    <w:rsid w:val="003210DD"/>
    <w:rsid w:val="003215F1"/>
    <w:rsid w:val="0032192B"/>
    <w:rsid w:val="00324713"/>
    <w:rsid w:val="00324BCB"/>
    <w:rsid w:val="003268B3"/>
    <w:rsid w:val="00327424"/>
    <w:rsid w:val="003309A4"/>
    <w:rsid w:val="00332903"/>
    <w:rsid w:val="003355AD"/>
    <w:rsid w:val="00336302"/>
    <w:rsid w:val="00340FA6"/>
    <w:rsid w:val="00344D25"/>
    <w:rsid w:val="00345EA6"/>
    <w:rsid w:val="00347352"/>
    <w:rsid w:val="00350AE1"/>
    <w:rsid w:val="003547EE"/>
    <w:rsid w:val="00355564"/>
    <w:rsid w:val="003657F5"/>
    <w:rsid w:val="0036655C"/>
    <w:rsid w:val="00366619"/>
    <w:rsid w:val="0036672A"/>
    <w:rsid w:val="003734B3"/>
    <w:rsid w:val="0037518B"/>
    <w:rsid w:val="003756E0"/>
    <w:rsid w:val="00381293"/>
    <w:rsid w:val="0038157B"/>
    <w:rsid w:val="0038476E"/>
    <w:rsid w:val="00387C29"/>
    <w:rsid w:val="003939AD"/>
    <w:rsid w:val="003962EB"/>
    <w:rsid w:val="00396956"/>
    <w:rsid w:val="003A179A"/>
    <w:rsid w:val="003A2FF4"/>
    <w:rsid w:val="003A5B90"/>
    <w:rsid w:val="003A65D7"/>
    <w:rsid w:val="003B0C75"/>
    <w:rsid w:val="003B3539"/>
    <w:rsid w:val="003B7AAC"/>
    <w:rsid w:val="003C158E"/>
    <w:rsid w:val="003C321B"/>
    <w:rsid w:val="003C37FF"/>
    <w:rsid w:val="003D6FC2"/>
    <w:rsid w:val="003E0AB6"/>
    <w:rsid w:val="003E18BF"/>
    <w:rsid w:val="003E1CFB"/>
    <w:rsid w:val="003E1D99"/>
    <w:rsid w:val="003E383B"/>
    <w:rsid w:val="003F2208"/>
    <w:rsid w:val="003F39B9"/>
    <w:rsid w:val="003F3C6F"/>
    <w:rsid w:val="003F78B0"/>
    <w:rsid w:val="00401003"/>
    <w:rsid w:val="004012E5"/>
    <w:rsid w:val="00402175"/>
    <w:rsid w:val="00403B98"/>
    <w:rsid w:val="004055BB"/>
    <w:rsid w:val="00405A2E"/>
    <w:rsid w:val="004071F1"/>
    <w:rsid w:val="004109FE"/>
    <w:rsid w:val="00410CB5"/>
    <w:rsid w:val="004166B2"/>
    <w:rsid w:val="004178CA"/>
    <w:rsid w:val="00417CE0"/>
    <w:rsid w:val="00425D03"/>
    <w:rsid w:val="00427DF0"/>
    <w:rsid w:val="004304DB"/>
    <w:rsid w:val="00433BCD"/>
    <w:rsid w:val="00442D71"/>
    <w:rsid w:val="0044405B"/>
    <w:rsid w:val="00444ADE"/>
    <w:rsid w:val="00446783"/>
    <w:rsid w:val="00450562"/>
    <w:rsid w:val="00451F0A"/>
    <w:rsid w:val="004524A5"/>
    <w:rsid w:val="00452724"/>
    <w:rsid w:val="004533BF"/>
    <w:rsid w:val="00455FB9"/>
    <w:rsid w:val="004560B8"/>
    <w:rsid w:val="00457BC9"/>
    <w:rsid w:val="00457EF7"/>
    <w:rsid w:val="00460FA7"/>
    <w:rsid w:val="00461CE4"/>
    <w:rsid w:val="00462251"/>
    <w:rsid w:val="0046345D"/>
    <w:rsid w:val="00464BE7"/>
    <w:rsid w:val="004668BC"/>
    <w:rsid w:val="004703BC"/>
    <w:rsid w:val="00472063"/>
    <w:rsid w:val="00472417"/>
    <w:rsid w:val="004730D4"/>
    <w:rsid w:val="00477894"/>
    <w:rsid w:val="00477D39"/>
    <w:rsid w:val="00481B0F"/>
    <w:rsid w:val="004862F6"/>
    <w:rsid w:val="0049002A"/>
    <w:rsid w:val="00491CC0"/>
    <w:rsid w:val="0049554D"/>
    <w:rsid w:val="0049640B"/>
    <w:rsid w:val="00497638"/>
    <w:rsid w:val="004A0C9B"/>
    <w:rsid w:val="004A319D"/>
    <w:rsid w:val="004B2810"/>
    <w:rsid w:val="004B75D7"/>
    <w:rsid w:val="004C08D0"/>
    <w:rsid w:val="004C311C"/>
    <w:rsid w:val="004C3D95"/>
    <w:rsid w:val="004C5EEE"/>
    <w:rsid w:val="004C62B4"/>
    <w:rsid w:val="004D0452"/>
    <w:rsid w:val="004D446B"/>
    <w:rsid w:val="004D5ED2"/>
    <w:rsid w:val="004E2281"/>
    <w:rsid w:val="004E41B5"/>
    <w:rsid w:val="004E41D9"/>
    <w:rsid w:val="004F12D4"/>
    <w:rsid w:val="004F1864"/>
    <w:rsid w:val="004F2926"/>
    <w:rsid w:val="004F3557"/>
    <w:rsid w:val="004F49BD"/>
    <w:rsid w:val="004F4BB5"/>
    <w:rsid w:val="004F4BFD"/>
    <w:rsid w:val="004F53D5"/>
    <w:rsid w:val="004F7634"/>
    <w:rsid w:val="00502F18"/>
    <w:rsid w:val="00503E05"/>
    <w:rsid w:val="0051556A"/>
    <w:rsid w:val="005161A2"/>
    <w:rsid w:val="00523329"/>
    <w:rsid w:val="00524C54"/>
    <w:rsid w:val="00525B89"/>
    <w:rsid w:val="005266AD"/>
    <w:rsid w:val="00532C6A"/>
    <w:rsid w:val="005349A8"/>
    <w:rsid w:val="00536235"/>
    <w:rsid w:val="0054029C"/>
    <w:rsid w:val="00540A1D"/>
    <w:rsid w:val="005415C2"/>
    <w:rsid w:val="00542FE7"/>
    <w:rsid w:val="00543891"/>
    <w:rsid w:val="00546A65"/>
    <w:rsid w:val="00547D0D"/>
    <w:rsid w:val="00553FDB"/>
    <w:rsid w:val="005540B6"/>
    <w:rsid w:val="00554442"/>
    <w:rsid w:val="0055509E"/>
    <w:rsid w:val="0056017F"/>
    <w:rsid w:val="00562081"/>
    <w:rsid w:val="0056598F"/>
    <w:rsid w:val="00566E1B"/>
    <w:rsid w:val="00570C0E"/>
    <w:rsid w:val="00582BE5"/>
    <w:rsid w:val="005860A6"/>
    <w:rsid w:val="00594267"/>
    <w:rsid w:val="005B154D"/>
    <w:rsid w:val="005B2CC7"/>
    <w:rsid w:val="005B39E6"/>
    <w:rsid w:val="005B4BBD"/>
    <w:rsid w:val="005B599D"/>
    <w:rsid w:val="005C359F"/>
    <w:rsid w:val="005D1ED5"/>
    <w:rsid w:val="005D6D64"/>
    <w:rsid w:val="005E27A8"/>
    <w:rsid w:val="005E7F2C"/>
    <w:rsid w:val="005F3019"/>
    <w:rsid w:val="005F46E3"/>
    <w:rsid w:val="005F5705"/>
    <w:rsid w:val="005F62A0"/>
    <w:rsid w:val="006020EC"/>
    <w:rsid w:val="00607974"/>
    <w:rsid w:val="006100DC"/>
    <w:rsid w:val="0061047B"/>
    <w:rsid w:val="00610B99"/>
    <w:rsid w:val="00612FC3"/>
    <w:rsid w:val="00612FF3"/>
    <w:rsid w:val="00621BD4"/>
    <w:rsid w:val="0063095E"/>
    <w:rsid w:val="00634E51"/>
    <w:rsid w:val="00637CF4"/>
    <w:rsid w:val="00642E96"/>
    <w:rsid w:val="00644CFD"/>
    <w:rsid w:val="006501FE"/>
    <w:rsid w:val="0065063A"/>
    <w:rsid w:val="0066267F"/>
    <w:rsid w:val="00662B78"/>
    <w:rsid w:val="006630F0"/>
    <w:rsid w:val="006646E7"/>
    <w:rsid w:val="00671A2E"/>
    <w:rsid w:val="006736CB"/>
    <w:rsid w:val="00674D07"/>
    <w:rsid w:val="006772AA"/>
    <w:rsid w:val="00687B0E"/>
    <w:rsid w:val="00696970"/>
    <w:rsid w:val="006A1469"/>
    <w:rsid w:val="006A152D"/>
    <w:rsid w:val="006A307E"/>
    <w:rsid w:val="006A66DA"/>
    <w:rsid w:val="006B23B1"/>
    <w:rsid w:val="006B6916"/>
    <w:rsid w:val="006B6B40"/>
    <w:rsid w:val="006C1D3B"/>
    <w:rsid w:val="006C35D4"/>
    <w:rsid w:val="006C46B1"/>
    <w:rsid w:val="006C66CC"/>
    <w:rsid w:val="006C6EB8"/>
    <w:rsid w:val="006C7EDC"/>
    <w:rsid w:val="006D562C"/>
    <w:rsid w:val="006E18F4"/>
    <w:rsid w:val="006E47AC"/>
    <w:rsid w:val="006E6D6D"/>
    <w:rsid w:val="006F0165"/>
    <w:rsid w:val="006F11E8"/>
    <w:rsid w:val="0070065B"/>
    <w:rsid w:val="00700691"/>
    <w:rsid w:val="00706C1D"/>
    <w:rsid w:val="007074B4"/>
    <w:rsid w:val="0070769F"/>
    <w:rsid w:val="00707B82"/>
    <w:rsid w:val="00714ABA"/>
    <w:rsid w:val="007154C0"/>
    <w:rsid w:val="0071708C"/>
    <w:rsid w:val="00720E47"/>
    <w:rsid w:val="00721342"/>
    <w:rsid w:val="00722E42"/>
    <w:rsid w:val="00722F01"/>
    <w:rsid w:val="00725C7E"/>
    <w:rsid w:val="007273D8"/>
    <w:rsid w:val="0073404A"/>
    <w:rsid w:val="00734273"/>
    <w:rsid w:val="007358BF"/>
    <w:rsid w:val="007379E2"/>
    <w:rsid w:val="0074008D"/>
    <w:rsid w:val="00743429"/>
    <w:rsid w:val="00744768"/>
    <w:rsid w:val="00745A27"/>
    <w:rsid w:val="00747386"/>
    <w:rsid w:val="00753A4C"/>
    <w:rsid w:val="00753E5F"/>
    <w:rsid w:val="007574AB"/>
    <w:rsid w:val="00760A20"/>
    <w:rsid w:val="00761823"/>
    <w:rsid w:val="00764BE8"/>
    <w:rsid w:val="007659AE"/>
    <w:rsid w:val="00766009"/>
    <w:rsid w:val="007678D2"/>
    <w:rsid w:val="00767E20"/>
    <w:rsid w:val="00771478"/>
    <w:rsid w:val="00771B1A"/>
    <w:rsid w:val="0077217B"/>
    <w:rsid w:val="0077315E"/>
    <w:rsid w:val="00773D72"/>
    <w:rsid w:val="007751D0"/>
    <w:rsid w:val="007803CF"/>
    <w:rsid w:val="007875F8"/>
    <w:rsid w:val="0079077E"/>
    <w:rsid w:val="00791E13"/>
    <w:rsid w:val="00791F0E"/>
    <w:rsid w:val="007920E0"/>
    <w:rsid w:val="00792904"/>
    <w:rsid w:val="00794067"/>
    <w:rsid w:val="007948CE"/>
    <w:rsid w:val="00796A6C"/>
    <w:rsid w:val="00797EB8"/>
    <w:rsid w:val="00797F74"/>
    <w:rsid w:val="007A014F"/>
    <w:rsid w:val="007B033C"/>
    <w:rsid w:val="007B3F60"/>
    <w:rsid w:val="007B4AE7"/>
    <w:rsid w:val="007B7556"/>
    <w:rsid w:val="007C4608"/>
    <w:rsid w:val="007D7440"/>
    <w:rsid w:val="007E3A9F"/>
    <w:rsid w:val="007E4474"/>
    <w:rsid w:val="007F05EC"/>
    <w:rsid w:val="007F2448"/>
    <w:rsid w:val="007F450D"/>
    <w:rsid w:val="007F7146"/>
    <w:rsid w:val="007F73F8"/>
    <w:rsid w:val="008034B1"/>
    <w:rsid w:val="0080380E"/>
    <w:rsid w:val="0080441A"/>
    <w:rsid w:val="00806621"/>
    <w:rsid w:val="00811C5E"/>
    <w:rsid w:val="008128EC"/>
    <w:rsid w:val="00817845"/>
    <w:rsid w:val="00823DDA"/>
    <w:rsid w:val="00823FF7"/>
    <w:rsid w:val="008240D8"/>
    <w:rsid w:val="0082747E"/>
    <w:rsid w:val="00827E8C"/>
    <w:rsid w:val="00840006"/>
    <w:rsid w:val="00843559"/>
    <w:rsid w:val="00843B9B"/>
    <w:rsid w:val="00846F41"/>
    <w:rsid w:val="00847205"/>
    <w:rsid w:val="0084726C"/>
    <w:rsid w:val="008513EF"/>
    <w:rsid w:val="0085277E"/>
    <w:rsid w:val="0085647B"/>
    <w:rsid w:val="00862C9A"/>
    <w:rsid w:val="008641F0"/>
    <w:rsid w:val="00865BB3"/>
    <w:rsid w:val="0086794A"/>
    <w:rsid w:val="00867C41"/>
    <w:rsid w:val="00870FB8"/>
    <w:rsid w:val="008818F0"/>
    <w:rsid w:val="00885E88"/>
    <w:rsid w:val="00886C56"/>
    <w:rsid w:val="00887516"/>
    <w:rsid w:val="008906FF"/>
    <w:rsid w:val="00895084"/>
    <w:rsid w:val="00897595"/>
    <w:rsid w:val="008A4C93"/>
    <w:rsid w:val="008A59C2"/>
    <w:rsid w:val="008A7873"/>
    <w:rsid w:val="008A7985"/>
    <w:rsid w:val="008B03B9"/>
    <w:rsid w:val="008B1B2B"/>
    <w:rsid w:val="008C0DB6"/>
    <w:rsid w:val="008C26A3"/>
    <w:rsid w:val="008C78BA"/>
    <w:rsid w:val="008E0B00"/>
    <w:rsid w:val="008E2EC5"/>
    <w:rsid w:val="008E31B1"/>
    <w:rsid w:val="008E468F"/>
    <w:rsid w:val="008E5B68"/>
    <w:rsid w:val="008E71ED"/>
    <w:rsid w:val="008F09C7"/>
    <w:rsid w:val="008F0F3C"/>
    <w:rsid w:val="008F310A"/>
    <w:rsid w:val="008F3DCE"/>
    <w:rsid w:val="008F7CDB"/>
    <w:rsid w:val="00900CC1"/>
    <w:rsid w:val="009013C8"/>
    <w:rsid w:val="0090321A"/>
    <w:rsid w:val="00903B58"/>
    <w:rsid w:val="00910885"/>
    <w:rsid w:val="00916487"/>
    <w:rsid w:val="009211FF"/>
    <w:rsid w:val="00925389"/>
    <w:rsid w:val="00930273"/>
    <w:rsid w:val="00933AB7"/>
    <w:rsid w:val="009417CE"/>
    <w:rsid w:val="00942484"/>
    <w:rsid w:val="00943509"/>
    <w:rsid w:val="009466B4"/>
    <w:rsid w:val="009471AE"/>
    <w:rsid w:val="00953DD2"/>
    <w:rsid w:val="00954110"/>
    <w:rsid w:val="00954723"/>
    <w:rsid w:val="00955993"/>
    <w:rsid w:val="009570D7"/>
    <w:rsid w:val="009604BB"/>
    <w:rsid w:val="0096431E"/>
    <w:rsid w:val="00966FB9"/>
    <w:rsid w:val="00967760"/>
    <w:rsid w:val="009677B7"/>
    <w:rsid w:val="00972802"/>
    <w:rsid w:val="00973639"/>
    <w:rsid w:val="00973E72"/>
    <w:rsid w:val="00974508"/>
    <w:rsid w:val="00980528"/>
    <w:rsid w:val="009808E2"/>
    <w:rsid w:val="00982D5C"/>
    <w:rsid w:val="009930B9"/>
    <w:rsid w:val="0099379F"/>
    <w:rsid w:val="00993DEF"/>
    <w:rsid w:val="0099503D"/>
    <w:rsid w:val="009A0384"/>
    <w:rsid w:val="009A5659"/>
    <w:rsid w:val="009B0001"/>
    <w:rsid w:val="009B3547"/>
    <w:rsid w:val="009B3748"/>
    <w:rsid w:val="009B5592"/>
    <w:rsid w:val="009C46D9"/>
    <w:rsid w:val="009D1D87"/>
    <w:rsid w:val="009E00EA"/>
    <w:rsid w:val="009E04CF"/>
    <w:rsid w:val="009E0CFE"/>
    <w:rsid w:val="009E1A5F"/>
    <w:rsid w:val="009E2FC4"/>
    <w:rsid w:val="009E3021"/>
    <w:rsid w:val="009E67EB"/>
    <w:rsid w:val="009F07C1"/>
    <w:rsid w:val="009F3832"/>
    <w:rsid w:val="009F42B4"/>
    <w:rsid w:val="009F6FD3"/>
    <w:rsid w:val="009F70A4"/>
    <w:rsid w:val="009F7CE2"/>
    <w:rsid w:val="00A0194D"/>
    <w:rsid w:val="00A02065"/>
    <w:rsid w:val="00A13452"/>
    <w:rsid w:val="00A14B35"/>
    <w:rsid w:val="00A168E4"/>
    <w:rsid w:val="00A239AC"/>
    <w:rsid w:val="00A23D53"/>
    <w:rsid w:val="00A26883"/>
    <w:rsid w:val="00A3233C"/>
    <w:rsid w:val="00A35FE2"/>
    <w:rsid w:val="00A36448"/>
    <w:rsid w:val="00A37014"/>
    <w:rsid w:val="00A3709B"/>
    <w:rsid w:val="00A40F68"/>
    <w:rsid w:val="00A41090"/>
    <w:rsid w:val="00A45D39"/>
    <w:rsid w:val="00A462AE"/>
    <w:rsid w:val="00A47AD3"/>
    <w:rsid w:val="00A50CC2"/>
    <w:rsid w:val="00A52270"/>
    <w:rsid w:val="00A53418"/>
    <w:rsid w:val="00A53F8A"/>
    <w:rsid w:val="00A5440A"/>
    <w:rsid w:val="00A57DD0"/>
    <w:rsid w:val="00A67054"/>
    <w:rsid w:val="00A679D0"/>
    <w:rsid w:val="00A745EE"/>
    <w:rsid w:val="00A76409"/>
    <w:rsid w:val="00A76522"/>
    <w:rsid w:val="00A83900"/>
    <w:rsid w:val="00A92E39"/>
    <w:rsid w:val="00A931BD"/>
    <w:rsid w:val="00A968D6"/>
    <w:rsid w:val="00AA026E"/>
    <w:rsid w:val="00AA2C2B"/>
    <w:rsid w:val="00AA397D"/>
    <w:rsid w:val="00AB0D35"/>
    <w:rsid w:val="00AB2ABA"/>
    <w:rsid w:val="00AB3813"/>
    <w:rsid w:val="00AB3C24"/>
    <w:rsid w:val="00AC6A6A"/>
    <w:rsid w:val="00AD0695"/>
    <w:rsid w:val="00AD0881"/>
    <w:rsid w:val="00AD1006"/>
    <w:rsid w:val="00AD1309"/>
    <w:rsid w:val="00AD1691"/>
    <w:rsid w:val="00AD36C3"/>
    <w:rsid w:val="00AD68FA"/>
    <w:rsid w:val="00AE4182"/>
    <w:rsid w:val="00AE5087"/>
    <w:rsid w:val="00AE6E12"/>
    <w:rsid w:val="00AF1B9D"/>
    <w:rsid w:val="00AF2B5C"/>
    <w:rsid w:val="00AF3D79"/>
    <w:rsid w:val="00AF5A50"/>
    <w:rsid w:val="00AF5BCF"/>
    <w:rsid w:val="00AF631E"/>
    <w:rsid w:val="00B01C69"/>
    <w:rsid w:val="00B0426E"/>
    <w:rsid w:val="00B056C3"/>
    <w:rsid w:val="00B06ED0"/>
    <w:rsid w:val="00B07771"/>
    <w:rsid w:val="00B120D6"/>
    <w:rsid w:val="00B12558"/>
    <w:rsid w:val="00B132F1"/>
    <w:rsid w:val="00B21E19"/>
    <w:rsid w:val="00B235A0"/>
    <w:rsid w:val="00B2715E"/>
    <w:rsid w:val="00B346A9"/>
    <w:rsid w:val="00B34B58"/>
    <w:rsid w:val="00B45AEE"/>
    <w:rsid w:val="00B51011"/>
    <w:rsid w:val="00B51465"/>
    <w:rsid w:val="00B51D27"/>
    <w:rsid w:val="00B5239D"/>
    <w:rsid w:val="00B56442"/>
    <w:rsid w:val="00B6042F"/>
    <w:rsid w:val="00B61205"/>
    <w:rsid w:val="00B639EC"/>
    <w:rsid w:val="00B73636"/>
    <w:rsid w:val="00B81538"/>
    <w:rsid w:val="00B83518"/>
    <w:rsid w:val="00B849F6"/>
    <w:rsid w:val="00B8692E"/>
    <w:rsid w:val="00B91110"/>
    <w:rsid w:val="00B91FF1"/>
    <w:rsid w:val="00B922BF"/>
    <w:rsid w:val="00B93762"/>
    <w:rsid w:val="00B94D88"/>
    <w:rsid w:val="00B9521A"/>
    <w:rsid w:val="00B97A95"/>
    <w:rsid w:val="00BA3865"/>
    <w:rsid w:val="00BB5D49"/>
    <w:rsid w:val="00BC288E"/>
    <w:rsid w:val="00BC4449"/>
    <w:rsid w:val="00BD29AF"/>
    <w:rsid w:val="00BD3EAC"/>
    <w:rsid w:val="00BD54E9"/>
    <w:rsid w:val="00BD56AF"/>
    <w:rsid w:val="00BE0BB5"/>
    <w:rsid w:val="00BE24AE"/>
    <w:rsid w:val="00BE4B8F"/>
    <w:rsid w:val="00BE7850"/>
    <w:rsid w:val="00C04542"/>
    <w:rsid w:val="00C05375"/>
    <w:rsid w:val="00C053DE"/>
    <w:rsid w:val="00C06C7B"/>
    <w:rsid w:val="00C10686"/>
    <w:rsid w:val="00C10FF9"/>
    <w:rsid w:val="00C149E4"/>
    <w:rsid w:val="00C15780"/>
    <w:rsid w:val="00C17D20"/>
    <w:rsid w:val="00C17FAA"/>
    <w:rsid w:val="00C22BB6"/>
    <w:rsid w:val="00C24E8D"/>
    <w:rsid w:val="00C25268"/>
    <w:rsid w:val="00C26ACA"/>
    <w:rsid w:val="00C3111E"/>
    <w:rsid w:val="00C31FBE"/>
    <w:rsid w:val="00C3639A"/>
    <w:rsid w:val="00C402FA"/>
    <w:rsid w:val="00C41299"/>
    <w:rsid w:val="00C456AA"/>
    <w:rsid w:val="00C46644"/>
    <w:rsid w:val="00C4698B"/>
    <w:rsid w:val="00C67942"/>
    <w:rsid w:val="00C77457"/>
    <w:rsid w:val="00C803AF"/>
    <w:rsid w:val="00C80A17"/>
    <w:rsid w:val="00C83615"/>
    <w:rsid w:val="00C86D95"/>
    <w:rsid w:val="00C872E8"/>
    <w:rsid w:val="00C91ED2"/>
    <w:rsid w:val="00C920B4"/>
    <w:rsid w:val="00C95E4D"/>
    <w:rsid w:val="00CA2039"/>
    <w:rsid w:val="00CA58EA"/>
    <w:rsid w:val="00CA5B49"/>
    <w:rsid w:val="00CB10EE"/>
    <w:rsid w:val="00CB12F5"/>
    <w:rsid w:val="00CB2D22"/>
    <w:rsid w:val="00CB421D"/>
    <w:rsid w:val="00CB4585"/>
    <w:rsid w:val="00CB5123"/>
    <w:rsid w:val="00CB5E33"/>
    <w:rsid w:val="00CB6AE8"/>
    <w:rsid w:val="00CC068B"/>
    <w:rsid w:val="00CC0DA7"/>
    <w:rsid w:val="00CC1FF3"/>
    <w:rsid w:val="00CC6419"/>
    <w:rsid w:val="00CD095E"/>
    <w:rsid w:val="00CD1115"/>
    <w:rsid w:val="00CD13CC"/>
    <w:rsid w:val="00CD33F3"/>
    <w:rsid w:val="00CD5354"/>
    <w:rsid w:val="00CD5C27"/>
    <w:rsid w:val="00CD6266"/>
    <w:rsid w:val="00CE334C"/>
    <w:rsid w:val="00CE41E2"/>
    <w:rsid w:val="00CE5F63"/>
    <w:rsid w:val="00CE671C"/>
    <w:rsid w:val="00CF06DF"/>
    <w:rsid w:val="00CF1890"/>
    <w:rsid w:val="00D02C6E"/>
    <w:rsid w:val="00D077D5"/>
    <w:rsid w:val="00D07998"/>
    <w:rsid w:val="00D119F0"/>
    <w:rsid w:val="00D13DDD"/>
    <w:rsid w:val="00D14E37"/>
    <w:rsid w:val="00D15D72"/>
    <w:rsid w:val="00D21F5A"/>
    <w:rsid w:val="00D274A5"/>
    <w:rsid w:val="00D30F0D"/>
    <w:rsid w:val="00D31784"/>
    <w:rsid w:val="00D40FC0"/>
    <w:rsid w:val="00D42D83"/>
    <w:rsid w:val="00D4523B"/>
    <w:rsid w:val="00D4594F"/>
    <w:rsid w:val="00D46E5C"/>
    <w:rsid w:val="00D52C65"/>
    <w:rsid w:val="00D54FF5"/>
    <w:rsid w:val="00D55545"/>
    <w:rsid w:val="00D57180"/>
    <w:rsid w:val="00D61C0B"/>
    <w:rsid w:val="00D72D25"/>
    <w:rsid w:val="00D77BF3"/>
    <w:rsid w:val="00D83ED9"/>
    <w:rsid w:val="00D93907"/>
    <w:rsid w:val="00D946D7"/>
    <w:rsid w:val="00D9477B"/>
    <w:rsid w:val="00D94F6E"/>
    <w:rsid w:val="00D974EA"/>
    <w:rsid w:val="00DA0792"/>
    <w:rsid w:val="00DA090E"/>
    <w:rsid w:val="00DA0AE0"/>
    <w:rsid w:val="00DA0CC6"/>
    <w:rsid w:val="00DA135B"/>
    <w:rsid w:val="00DA13AD"/>
    <w:rsid w:val="00DA67BE"/>
    <w:rsid w:val="00DA7034"/>
    <w:rsid w:val="00DB1CA8"/>
    <w:rsid w:val="00DB3DD6"/>
    <w:rsid w:val="00DB4136"/>
    <w:rsid w:val="00DB706A"/>
    <w:rsid w:val="00DC0851"/>
    <w:rsid w:val="00DC3BD9"/>
    <w:rsid w:val="00DC4E7D"/>
    <w:rsid w:val="00DC5F38"/>
    <w:rsid w:val="00DC672E"/>
    <w:rsid w:val="00DC6B53"/>
    <w:rsid w:val="00DC6D9D"/>
    <w:rsid w:val="00DC7641"/>
    <w:rsid w:val="00DD2572"/>
    <w:rsid w:val="00DD64AF"/>
    <w:rsid w:val="00DD66D1"/>
    <w:rsid w:val="00DD7B69"/>
    <w:rsid w:val="00DE06D1"/>
    <w:rsid w:val="00DE20A6"/>
    <w:rsid w:val="00DE33E5"/>
    <w:rsid w:val="00DE6C03"/>
    <w:rsid w:val="00DF0A7E"/>
    <w:rsid w:val="00DF1CC9"/>
    <w:rsid w:val="00DF1D8B"/>
    <w:rsid w:val="00DF7112"/>
    <w:rsid w:val="00E00DB3"/>
    <w:rsid w:val="00E042A9"/>
    <w:rsid w:val="00E062D1"/>
    <w:rsid w:val="00E07A55"/>
    <w:rsid w:val="00E1132E"/>
    <w:rsid w:val="00E13A43"/>
    <w:rsid w:val="00E13B18"/>
    <w:rsid w:val="00E14593"/>
    <w:rsid w:val="00E22F1F"/>
    <w:rsid w:val="00E25813"/>
    <w:rsid w:val="00E25A6F"/>
    <w:rsid w:val="00E279B3"/>
    <w:rsid w:val="00E27F17"/>
    <w:rsid w:val="00E31429"/>
    <w:rsid w:val="00E35C41"/>
    <w:rsid w:val="00E361CD"/>
    <w:rsid w:val="00E37DD0"/>
    <w:rsid w:val="00E4060D"/>
    <w:rsid w:val="00E41D49"/>
    <w:rsid w:val="00E41DD1"/>
    <w:rsid w:val="00E46B74"/>
    <w:rsid w:val="00E47875"/>
    <w:rsid w:val="00E515B3"/>
    <w:rsid w:val="00E52969"/>
    <w:rsid w:val="00E55A2D"/>
    <w:rsid w:val="00E55FC7"/>
    <w:rsid w:val="00E5624E"/>
    <w:rsid w:val="00E6218B"/>
    <w:rsid w:val="00E7227A"/>
    <w:rsid w:val="00E73C99"/>
    <w:rsid w:val="00E74F31"/>
    <w:rsid w:val="00E75A9B"/>
    <w:rsid w:val="00E77633"/>
    <w:rsid w:val="00E77CDD"/>
    <w:rsid w:val="00E81B31"/>
    <w:rsid w:val="00E87B30"/>
    <w:rsid w:val="00E92F64"/>
    <w:rsid w:val="00E942B3"/>
    <w:rsid w:val="00E94659"/>
    <w:rsid w:val="00E957E0"/>
    <w:rsid w:val="00EA36D7"/>
    <w:rsid w:val="00EA6232"/>
    <w:rsid w:val="00EA6CFD"/>
    <w:rsid w:val="00EB28D2"/>
    <w:rsid w:val="00EB53C5"/>
    <w:rsid w:val="00EB68A6"/>
    <w:rsid w:val="00EB7710"/>
    <w:rsid w:val="00EC62A6"/>
    <w:rsid w:val="00ED0042"/>
    <w:rsid w:val="00ED14C3"/>
    <w:rsid w:val="00ED29B9"/>
    <w:rsid w:val="00ED36E2"/>
    <w:rsid w:val="00ED67E7"/>
    <w:rsid w:val="00EE25F5"/>
    <w:rsid w:val="00EE5CD6"/>
    <w:rsid w:val="00EE6C34"/>
    <w:rsid w:val="00EF0BB1"/>
    <w:rsid w:val="00EF34A9"/>
    <w:rsid w:val="00EF3D9B"/>
    <w:rsid w:val="00EF4902"/>
    <w:rsid w:val="00EF5078"/>
    <w:rsid w:val="00F03620"/>
    <w:rsid w:val="00F04657"/>
    <w:rsid w:val="00F115E3"/>
    <w:rsid w:val="00F12BA8"/>
    <w:rsid w:val="00F216BA"/>
    <w:rsid w:val="00F21D20"/>
    <w:rsid w:val="00F2340E"/>
    <w:rsid w:val="00F240E2"/>
    <w:rsid w:val="00F24876"/>
    <w:rsid w:val="00F25070"/>
    <w:rsid w:val="00F25F74"/>
    <w:rsid w:val="00F32AAF"/>
    <w:rsid w:val="00F32CE0"/>
    <w:rsid w:val="00F336CF"/>
    <w:rsid w:val="00F33796"/>
    <w:rsid w:val="00F34D1F"/>
    <w:rsid w:val="00F46385"/>
    <w:rsid w:val="00F50FF0"/>
    <w:rsid w:val="00F51F43"/>
    <w:rsid w:val="00F52C93"/>
    <w:rsid w:val="00F56565"/>
    <w:rsid w:val="00F633DE"/>
    <w:rsid w:val="00F64379"/>
    <w:rsid w:val="00F64A9E"/>
    <w:rsid w:val="00F72597"/>
    <w:rsid w:val="00F77C21"/>
    <w:rsid w:val="00F77C98"/>
    <w:rsid w:val="00F80EAD"/>
    <w:rsid w:val="00F81881"/>
    <w:rsid w:val="00F86F6A"/>
    <w:rsid w:val="00F90B15"/>
    <w:rsid w:val="00F94959"/>
    <w:rsid w:val="00F951F0"/>
    <w:rsid w:val="00F955F4"/>
    <w:rsid w:val="00F974AF"/>
    <w:rsid w:val="00F97F88"/>
    <w:rsid w:val="00FA0EFF"/>
    <w:rsid w:val="00FA22D3"/>
    <w:rsid w:val="00FA3C56"/>
    <w:rsid w:val="00FA46C9"/>
    <w:rsid w:val="00FA4792"/>
    <w:rsid w:val="00FA69A1"/>
    <w:rsid w:val="00FA7961"/>
    <w:rsid w:val="00FB1D41"/>
    <w:rsid w:val="00FB2212"/>
    <w:rsid w:val="00FB3B90"/>
    <w:rsid w:val="00FB4557"/>
    <w:rsid w:val="00FB47AD"/>
    <w:rsid w:val="00FB6240"/>
    <w:rsid w:val="00FB77FF"/>
    <w:rsid w:val="00FC0794"/>
    <w:rsid w:val="00FC0911"/>
    <w:rsid w:val="00FC200D"/>
    <w:rsid w:val="00FC2F7C"/>
    <w:rsid w:val="00FC34A3"/>
    <w:rsid w:val="00FD0387"/>
    <w:rsid w:val="00FD23D1"/>
    <w:rsid w:val="00FD253C"/>
    <w:rsid w:val="00FD293B"/>
    <w:rsid w:val="00FD4377"/>
    <w:rsid w:val="00FD56FD"/>
    <w:rsid w:val="00FE1C4D"/>
    <w:rsid w:val="00FE5E7C"/>
    <w:rsid w:val="00FE6C77"/>
    <w:rsid w:val="00FE7725"/>
    <w:rsid w:val="00FF0EDB"/>
    <w:rsid w:val="00FF371D"/>
    <w:rsid w:val="00FF47FC"/>
    <w:rsid w:val="00FF4C8D"/>
    <w:rsid w:val="012019CF"/>
    <w:rsid w:val="01826A6E"/>
    <w:rsid w:val="01D00FB5"/>
    <w:rsid w:val="01E438DF"/>
    <w:rsid w:val="021E7C76"/>
    <w:rsid w:val="0265280B"/>
    <w:rsid w:val="027A24F5"/>
    <w:rsid w:val="027C7E22"/>
    <w:rsid w:val="02A041DF"/>
    <w:rsid w:val="02B17E8C"/>
    <w:rsid w:val="02BA3E3E"/>
    <w:rsid w:val="02EA3715"/>
    <w:rsid w:val="02F93D39"/>
    <w:rsid w:val="034F5D4B"/>
    <w:rsid w:val="0362106C"/>
    <w:rsid w:val="036775D8"/>
    <w:rsid w:val="036C48D2"/>
    <w:rsid w:val="03F84CE9"/>
    <w:rsid w:val="04332CB1"/>
    <w:rsid w:val="044B4487"/>
    <w:rsid w:val="044F141B"/>
    <w:rsid w:val="04926276"/>
    <w:rsid w:val="049634E6"/>
    <w:rsid w:val="04B50AF9"/>
    <w:rsid w:val="04C906EA"/>
    <w:rsid w:val="04D870BC"/>
    <w:rsid w:val="05071243"/>
    <w:rsid w:val="051D0E69"/>
    <w:rsid w:val="054E13FB"/>
    <w:rsid w:val="05CB0EE5"/>
    <w:rsid w:val="05F606B3"/>
    <w:rsid w:val="063D19B3"/>
    <w:rsid w:val="066506ED"/>
    <w:rsid w:val="066C788D"/>
    <w:rsid w:val="066F2196"/>
    <w:rsid w:val="06CB6C18"/>
    <w:rsid w:val="06DD0DAE"/>
    <w:rsid w:val="07023A05"/>
    <w:rsid w:val="072B4342"/>
    <w:rsid w:val="075141A6"/>
    <w:rsid w:val="07674D2F"/>
    <w:rsid w:val="07CC706B"/>
    <w:rsid w:val="07EA4390"/>
    <w:rsid w:val="089A7165"/>
    <w:rsid w:val="09061BD7"/>
    <w:rsid w:val="0989217C"/>
    <w:rsid w:val="09B818FD"/>
    <w:rsid w:val="09D009B0"/>
    <w:rsid w:val="09F219D5"/>
    <w:rsid w:val="09F53197"/>
    <w:rsid w:val="0A1D7188"/>
    <w:rsid w:val="0A313B07"/>
    <w:rsid w:val="0B036DE1"/>
    <w:rsid w:val="0B152D08"/>
    <w:rsid w:val="0B443F15"/>
    <w:rsid w:val="0B9D21DC"/>
    <w:rsid w:val="0BA241B8"/>
    <w:rsid w:val="0BB054A1"/>
    <w:rsid w:val="0BEB5510"/>
    <w:rsid w:val="0BFE74C8"/>
    <w:rsid w:val="0C023C46"/>
    <w:rsid w:val="0C025463"/>
    <w:rsid w:val="0C3F577A"/>
    <w:rsid w:val="0C4D265E"/>
    <w:rsid w:val="0C645DE5"/>
    <w:rsid w:val="0C6A4A04"/>
    <w:rsid w:val="0D206C88"/>
    <w:rsid w:val="0D3400A2"/>
    <w:rsid w:val="0D3E4D1D"/>
    <w:rsid w:val="0D6A358E"/>
    <w:rsid w:val="0DA2228E"/>
    <w:rsid w:val="0DBC4AE0"/>
    <w:rsid w:val="0DD4509D"/>
    <w:rsid w:val="0DD7720E"/>
    <w:rsid w:val="0E39613B"/>
    <w:rsid w:val="0E6D42B0"/>
    <w:rsid w:val="0E877599"/>
    <w:rsid w:val="0EA5133F"/>
    <w:rsid w:val="0F12768D"/>
    <w:rsid w:val="0F1437AF"/>
    <w:rsid w:val="0F602377"/>
    <w:rsid w:val="0F81771C"/>
    <w:rsid w:val="0F97016E"/>
    <w:rsid w:val="0FB426B0"/>
    <w:rsid w:val="0FE34912"/>
    <w:rsid w:val="0FE97128"/>
    <w:rsid w:val="0FF3333F"/>
    <w:rsid w:val="0FF77FD6"/>
    <w:rsid w:val="100A7668"/>
    <w:rsid w:val="10202800"/>
    <w:rsid w:val="108230D0"/>
    <w:rsid w:val="1083456B"/>
    <w:rsid w:val="109C5456"/>
    <w:rsid w:val="10A161E7"/>
    <w:rsid w:val="10EB5AB6"/>
    <w:rsid w:val="110879B1"/>
    <w:rsid w:val="11204734"/>
    <w:rsid w:val="122D6044"/>
    <w:rsid w:val="124645C2"/>
    <w:rsid w:val="125A66A1"/>
    <w:rsid w:val="128A01A4"/>
    <w:rsid w:val="12BD6E9D"/>
    <w:rsid w:val="130D5B20"/>
    <w:rsid w:val="1329077B"/>
    <w:rsid w:val="133C1A58"/>
    <w:rsid w:val="134C4DC2"/>
    <w:rsid w:val="13667DBB"/>
    <w:rsid w:val="136D13D4"/>
    <w:rsid w:val="13897E8E"/>
    <w:rsid w:val="13C02846"/>
    <w:rsid w:val="13D1422F"/>
    <w:rsid w:val="13D72780"/>
    <w:rsid w:val="13DF390E"/>
    <w:rsid w:val="13EE5062"/>
    <w:rsid w:val="14A378AF"/>
    <w:rsid w:val="14DB6E54"/>
    <w:rsid w:val="15402F41"/>
    <w:rsid w:val="156625C9"/>
    <w:rsid w:val="15811587"/>
    <w:rsid w:val="15AD4A40"/>
    <w:rsid w:val="15ED4F63"/>
    <w:rsid w:val="15F70202"/>
    <w:rsid w:val="16001E7B"/>
    <w:rsid w:val="16143D14"/>
    <w:rsid w:val="16203F3F"/>
    <w:rsid w:val="162746F4"/>
    <w:rsid w:val="162A42F5"/>
    <w:rsid w:val="163D25AE"/>
    <w:rsid w:val="164D6F49"/>
    <w:rsid w:val="16626CB1"/>
    <w:rsid w:val="168072D1"/>
    <w:rsid w:val="16A451A5"/>
    <w:rsid w:val="16E93130"/>
    <w:rsid w:val="17394F8C"/>
    <w:rsid w:val="17EA5F44"/>
    <w:rsid w:val="18041B4D"/>
    <w:rsid w:val="180A4A34"/>
    <w:rsid w:val="18124EAD"/>
    <w:rsid w:val="181E0772"/>
    <w:rsid w:val="18377229"/>
    <w:rsid w:val="18434A8E"/>
    <w:rsid w:val="1867515C"/>
    <w:rsid w:val="1886276B"/>
    <w:rsid w:val="18897411"/>
    <w:rsid w:val="18B00D20"/>
    <w:rsid w:val="19233AD6"/>
    <w:rsid w:val="19245869"/>
    <w:rsid w:val="194D7471"/>
    <w:rsid w:val="194F181A"/>
    <w:rsid w:val="19637A9F"/>
    <w:rsid w:val="199E2230"/>
    <w:rsid w:val="19A55DF7"/>
    <w:rsid w:val="19FE12BF"/>
    <w:rsid w:val="1A0276AA"/>
    <w:rsid w:val="1A5C212E"/>
    <w:rsid w:val="1A62213F"/>
    <w:rsid w:val="1AF54759"/>
    <w:rsid w:val="1B192534"/>
    <w:rsid w:val="1B244C0D"/>
    <w:rsid w:val="1B3177ED"/>
    <w:rsid w:val="1B326ECB"/>
    <w:rsid w:val="1B5A42E8"/>
    <w:rsid w:val="1B6175ED"/>
    <w:rsid w:val="1B953751"/>
    <w:rsid w:val="1BB24470"/>
    <w:rsid w:val="1BF257AA"/>
    <w:rsid w:val="1C0B01E4"/>
    <w:rsid w:val="1C1407F9"/>
    <w:rsid w:val="1C230FC2"/>
    <w:rsid w:val="1C3C6998"/>
    <w:rsid w:val="1C544A6F"/>
    <w:rsid w:val="1C6B7925"/>
    <w:rsid w:val="1CAA1178"/>
    <w:rsid w:val="1CBB51EB"/>
    <w:rsid w:val="1D62169F"/>
    <w:rsid w:val="1D695057"/>
    <w:rsid w:val="1DAB627A"/>
    <w:rsid w:val="1DBF5AD0"/>
    <w:rsid w:val="1DD6121A"/>
    <w:rsid w:val="1E0E0546"/>
    <w:rsid w:val="1E2F5330"/>
    <w:rsid w:val="1E5E0D95"/>
    <w:rsid w:val="1E6D2595"/>
    <w:rsid w:val="1E8201E3"/>
    <w:rsid w:val="1EA27001"/>
    <w:rsid w:val="1EB4527A"/>
    <w:rsid w:val="1ED44D8D"/>
    <w:rsid w:val="1F6A1D5A"/>
    <w:rsid w:val="1F91379E"/>
    <w:rsid w:val="1FAA3ABE"/>
    <w:rsid w:val="1FE14BAD"/>
    <w:rsid w:val="1FEC7B2B"/>
    <w:rsid w:val="20334349"/>
    <w:rsid w:val="20371322"/>
    <w:rsid w:val="20C23FA8"/>
    <w:rsid w:val="20CF2A97"/>
    <w:rsid w:val="20DA1C06"/>
    <w:rsid w:val="21595193"/>
    <w:rsid w:val="21DC09EE"/>
    <w:rsid w:val="22026615"/>
    <w:rsid w:val="2226660D"/>
    <w:rsid w:val="223B6441"/>
    <w:rsid w:val="22516FD9"/>
    <w:rsid w:val="22674D04"/>
    <w:rsid w:val="22706E9B"/>
    <w:rsid w:val="22984109"/>
    <w:rsid w:val="22A6073F"/>
    <w:rsid w:val="22DC20B2"/>
    <w:rsid w:val="22F34C77"/>
    <w:rsid w:val="22FA6326"/>
    <w:rsid w:val="22FF2505"/>
    <w:rsid w:val="230E01D6"/>
    <w:rsid w:val="2313512C"/>
    <w:rsid w:val="2318412A"/>
    <w:rsid w:val="233D53F0"/>
    <w:rsid w:val="2346439A"/>
    <w:rsid w:val="23654C9B"/>
    <w:rsid w:val="236B0809"/>
    <w:rsid w:val="23823DC1"/>
    <w:rsid w:val="239D1100"/>
    <w:rsid w:val="23E3528B"/>
    <w:rsid w:val="23FA6DF4"/>
    <w:rsid w:val="24005C5E"/>
    <w:rsid w:val="241E4B16"/>
    <w:rsid w:val="250459B8"/>
    <w:rsid w:val="25187003"/>
    <w:rsid w:val="25207AB6"/>
    <w:rsid w:val="25384A39"/>
    <w:rsid w:val="25440F68"/>
    <w:rsid w:val="2568290D"/>
    <w:rsid w:val="25702512"/>
    <w:rsid w:val="25802DB7"/>
    <w:rsid w:val="25947C6D"/>
    <w:rsid w:val="25A615D8"/>
    <w:rsid w:val="25A66C3F"/>
    <w:rsid w:val="25D9306C"/>
    <w:rsid w:val="25FB1D31"/>
    <w:rsid w:val="26161A23"/>
    <w:rsid w:val="261A4633"/>
    <w:rsid w:val="262336EC"/>
    <w:rsid w:val="265B5A0A"/>
    <w:rsid w:val="265B7A18"/>
    <w:rsid w:val="2664663F"/>
    <w:rsid w:val="268B7F75"/>
    <w:rsid w:val="26A67C56"/>
    <w:rsid w:val="26C636CD"/>
    <w:rsid w:val="274F6607"/>
    <w:rsid w:val="27606103"/>
    <w:rsid w:val="27716534"/>
    <w:rsid w:val="27917D12"/>
    <w:rsid w:val="279D3833"/>
    <w:rsid w:val="27C174FA"/>
    <w:rsid w:val="27DC0469"/>
    <w:rsid w:val="28042C88"/>
    <w:rsid w:val="28496E44"/>
    <w:rsid w:val="285643AE"/>
    <w:rsid w:val="28781816"/>
    <w:rsid w:val="28A95715"/>
    <w:rsid w:val="28D50E44"/>
    <w:rsid w:val="28E552D7"/>
    <w:rsid w:val="28E644FC"/>
    <w:rsid w:val="28FB6ECA"/>
    <w:rsid w:val="291A03EA"/>
    <w:rsid w:val="29322E95"/>
    <w:rsid w:val="29951CA9"/>
    <w:rsid w:val="29BB3500"/>
    <w:rsid w:val="2A231B6F"/>
    <w:rsid w:val="2A8253BC"/>
    <w:rsid w:val="2A8D5EAA"/>
    <w:rsid w:val="2ABA5518"/>
    <w:rsid w:val="2ADB35B5"/>
    <w:rsid w:val="2B06229D"/>
    <w:rsid w:val="2B3462C8"/>
    <w:rsid w:val="2B41292C"/>
    <w:rsid w:val="2B5A5165"/>
    <w:rsid w:val="2B976BB7"/>
    <w:rsid w:val="2BA770E5"/>
    <w:rsid w:val="2BB17373"/>
    <w:rsid w:val="2BD050A7"/>
    <w:rsid w:val="2BDD341A"/>
    <w:rsid w:val="2BF86B7A"/>
    <w:rsid w:val="2C03456D"/>
    <w:rsid w:val="2C0D24C4"/>
    <w:rsid w:val="2C21719A"/>
    <w:rsid w:val="2C3171B1"/>
    <w:rsid w:val="2CD70FF4"/>
    <w:rsid w:val="2D383F18"/>
    <w:rsid w:val="2D5A60F2"/>
    <w:rsid w:val="2D723421"/>
    <w:rsid w:val="2D7C56CB"/>
    <w:rsid w:val="2D8C4706"/>
    <w:rsid w:val="2DF576D0"/>
    <w:rsid w:val="2DF90ACE"/>
    <w:rsid w:val="2E4C2F1B"/>
    <w:rsid w:val="2E5E11F3"/>
    <w:rsid w:val="2E8B7E1A"/>
    <w:rsid w:val="2EFC7486"/>
    <w:rsid w:val="2EFD7C52"/>
    <w:rsid w:val="2F4C3F5B"/>
    <w:rsid w:val="2F4E772F"/>
    <w:rsid w:val="2F770CB3"/>
    <w:rsid w:val="2F8A644A"/>
    <w:rsid w:val="2FAC1FB1"/>
    <w:rsid w:val="2FE5289D"/>
    <w:rsid w:val="2FF668CC"/>
    <w:rsid w:val="302C0100"/>
    <w:rsid w:val="304B619F"/>
    <w:rsid w:val="30932E66"/>
    <w:rsid w:val="30F16C4A"/>
    <w:rsid w:val="311934C5"/>
    <w:rsid w:val="312847D3"/>
    <w:rsid w:val="312972FC"/>
    <w:rsid w:val="31332C8F"/>
    <w:rsid w:val="31361E85"/>
    <w:rsid w:val="313A292C"/>
    <w:rsid w:val="315C1428"/>
    <w:rsid w:val="31680757"/>
    <w:rsid w:val="31777C39"/>
    <w:rsid w:val="318329C2"/>
    <w:rsid w:val="319B7DBB"/>
    <w:rsid w:val="31FB34B8"/>
    <w:rsid w:val="320C76D3"/>
    <w:rsid w:val="32526199"/>
    <w:rsid w:val="326C0180"/>
    <w:rsid w:val="32790E7C"/>
    <w:rsid w:val="32FC0951"/>
    <w:rsid w:val="3357529F"/>
    <w:rsid w:val="3359446A"/>
    <w:rsid w:val="336C28E9"/>
    <w:rsid w:val="337A6C16"/>
    <w:rsid w:val="338A3D50"/>
    <w:rsid w:val="343C5202"/>
    <w:rsid w:val="3442468D"/>
    <w:rsid w:val="347E6CAE"/>
    <w:rsid w:val="34840003"/>
    <w:rsid w:val="34E440EB"/>
    <w:rsid w:val="34E45207"/>
    <w:rsid w:val="34FA028C"/>
    <w:rsid w:val="352F30DA"/>
    <w:rsid w:val="35365D88"/>
    <w:rsid w:val="35585AEC"/>
    <w:rsid w:val="355B3E12"/>
    <w:rsid w:val="356358D7"/>
    <w:rsid w:val="3575456E"/>
    <w:rsid w:val="3581772B"/>
    <w:rsid w:val="35C858C3"/>
    <w:rsid w:val="35FC4E34"/>
    <w:rsid w:val="36313925"/>
    <w:rsid w:val="36427EE4"/>
    <w:rsid w:val="3647229F"/>
    <w:rsid w:val="365A61CA"/>
    <w:rsid w:val="366501D4"/>
    <w:rsid w:val="368A1206"/>
    <w:rsid w:val="368C1EE9"/>
    <w:rsid w:val="369C4EA7"/>
    <w:rsid w:val="36C14CCE"/>
    <w:rsid w:val="36DD136D"/>
    <w:rsid w:val="37145213"/>
    <w:rsid w:val="3773335F"/>
    <w:rsid w:val="37806580"/>
    <w:rsid w:val="37A44BE5"/>
    <w:rsid w:val="37A7347A"/>
    <w:rsid w:val="37AA7382"/>
    <w:rsid w:val="38366976"/>
    <w:rsid w:val="39113739"/>
    <w:rsid w:val="39317EE2"/>
    <w:rsid w:val="393215E0"/>
    <w:rsid w:val="394C1DC2"/>
    <w:rsid w:val="39630E7F"/>
    <w:rsid w:val="398D2A31"/>
    <w:rsid w:val="39F17E13"/>
    <w:rsid w:val="39F6416A"/>
    <w:rsid w:val="3A100380"/>
    <w:rsid w:val="3A410AAC"/>
    <w:rsid w:val="3A5E026F"/>
    <w:rsid w:val="3A6110D9"/>
    <w:rsid w:val="3ABC495C"/>
    <w:rsid w:val="3B8C022F"/>
    <w:rsid w:val="3BFF2C1C"/>
    <w:rsid w:val="3C342389"/>
    <w:rsid w:val="3C894A0C"/>
    <w:rsid w:val="3C8E6DAA"/>
    <w:rsid w:val="3CC6792F"/>
    <w:rsid w:val="3D0976DC"/>
    <w:rsid w:val="3D0B7262"/>
    <w:rsid w:val="3D9754DE"/>
    <w:rsid w:val="3DCD1BBC"/>
    <w:rsid w:val="3DEC334D"/>
    <w:rsid w:val="3E0011EB"/>
    <w:rsid w:val="3E35079B"/>
    <w:rsid w:val="3E5E41AF"/>
    <w:rsid w:val="3E703CF7"/>
    <w:rsid w:val="3E7C6ABF"/>
    <w:rsid w:val="3EA106DB"/>
    <w:rsid w:val="3ECA5E17"/>
    <w:rsid w:val="3EE22B35"/>
    <w:rsid w:val="3EE95FB5"/>
    <w:rsid w:val="3EF2379E"/>
    <w:rsid w:val="3F216498"/>
    <w:rsid w:val="3F3B5733"/>
    <w:rsid w:val="3F944890"/>
    <w:rsid w:val="3F9F1B5D"/>
    <w:rsid w:val="40137E28"/>
    <w:rsid w:val="40506CDB"/>
    <w:rsid w:val="407E48D3"/>
    <w:rsid w:val="40B50E67"/>
    <w:rsid w:val="40C93410"/>
    <w:rsid w:val="40D91664"/>
    <w:rsid w:val="41870E7E"/>
    <w:rsid w:val="41965ECC"/>
    <w:rsid w:val="419B6260"/>
    <w:rsid w:val="41AD3778"/>
    <w:rsid w:val="41DE3B58"/>
    <w:rsid w:val="41E16DCB"/>
    <w:rsid w:val="4205758F"/>
    <w:rsid w:val="422A2DC6"/>
    <w:rsid w:val="42397E8A"/>
    <w:rsid w:val="423D2A63"/>
    <w:rsid w:val="424D0889"/>
    <w:rsid w:val="4269156C"/>
    <w:rsid w:val="42730FC6"/>
    <w:rsid w:val="42C93C91"/>
    <w:rsid w:val="43095ECC"/>
    <w:rsid w:val="43096351"/>
    <w:rsid w:val="430B22DE"/>
    <w:rsid w:val="430D19B5"/>
    <w:rsid w:val="43224BF9"/>
    <w:rsid w:val="432A2BCA"/>
    <w:rsid w:val="439C4D5F"/>
    <w:rsid w:val="43A7112D"/>
    <w:rsid w:val="43FF7334"/>
    <w:rsid w:val="44675761"/>
    <w:rsid w:val="448046CF"/>
    <w:rsid w:val="44B42ECB"/>
    <w:rsid w:val="44B61F68"/>
    <w:rsid w:val="44E3017F"/>
    <w:rsid w:val="44FB1CCB"/>
    <w:rsid w:val="451271B6"/>
    <w:rsid w:val="45340A9C"/>
    <w:rsid w:val="45A22D92"/>
    <w:rsid w:val="45A56F17"/>
    <w:rsid w:val="45D563BF"/>
    <w:rsid w:val="464B57A2"/>
    <w:rsid w:val="4691046D"/>
    <w:rsid w:val="46AE68CC"/>
    <w:rsid w:val="46B10F6F"/>
    <w:rsid w:val="46E04D58"/>
    <w:rsid w:val="46F33E6B"/>
    <w:rsid w:val="47094F19"/>
    <w:rsid w:val="474A7A36"/>
    <w:rsid w:val="47503882"/>
    <w:rsid w:val="4763083B"/>
    <w:rsid w:val="477D68D2"/>
    <w:rsid w:val="47AC1AAE"/>
    <w:rsid w:val="47C2621B"/>
    <w:rsid w:val="47D218B5"/>
    <w:rsid w:val="47E01947"/>
    <w:rsid w:val="482821E8"/>
    <w:rsid w:val="48540DDD"/>
    <w:rsid w:val="48B91BE0"/>
    <w:rsid w:val="48EB64AC"/>
    <w:rsid w:val="48F74614"/>
    <w:rsid w:val="495E79F3"/>
    <w:rsid w:val="4965705C"/>
    <w:rsid w:val="49BA39E4"/>
    <w:rsid w:val="49BD5E57"/>
    <w:rsid w:val="49E60039"/>
    <w:rsid w:val="4A450C1A"/>
    <w:rsid w:val="4A4C6677"/>
    <w:rsid w:val="4A7E6C0C"/>
    <w:rsid w:val="4A8F77FF"/>
    <w:rsid w:val="4AAE4012"/>
    <w:rsid w:val="4AD553A6"/>
    <w:rsid w:val="4AE94B41"/>
    <w:rsid w:val="4B513BB2"/>
    <w:rsid w:val="4B584B04"/>
    <w:rsid w:val="4B711AC5"/>
    <w:rsid w:val="4B7F7E3D"/>
    <w:rsid w:val="4B8A5BB4"/>
    <w:rsid w:val="4BAC3D10"/>
    <w:rsid w:val="4BD61961"/>
    <w:rsid w:val="4BE45699"/>
    <w:rsid w:val="4C143BFD"/>
    <w:rsid w:val="4C271EB3"/>
    <w:rsid w:val="4C580D11"/>
    <w:rsid w:val="4C685246"/>
    <w:rsid w:val="4C800023"/>
    <w:rsid w:val="4C8B20B1"/>
    <w:rsid w:val="4C9D1F7C"/>
    <w:rsid w:val="4CD42DD9"/>
    <w:rsid w:val="4CDF4EE2"/>
    <w:rsid w:val="4CE9017E"/>
    <w:rsid w:val="4CF07CAE"/>
    <w:rsid w:val="4CFE6ADA"/>
    <w:rsid w:val="4D1B26EF"/>
    <w:rsid w:val="4DA560A4"/>
    <w:rsid w:val="4DBE72E5"/>
    <w:rsid w:val="4DDB1C96"/>
    <w:rsid w:val="4DE44BF3"/>
    <w:rsid w:val="4DED4CA0"/>
    <w:rsid w:val="4E0C519C"/>
    <w:rsid w:val="4E880CCE"/>
    <w:rsid w:val="4EA366BE"/>
    <w:rsid w:val="4F36376A"/>
    <w:rsid w:val="4F4B1C85"/>
    <w:rsid w:val="4F5A1C77"/>
    <w:rsid w:val="4F6737EB"/>
    <w:rsid w:val="4F7211FF"/>
    <w:rsid w:val="4FCA0679"/>
    <w:rsid w:val="500E17E7"/>
    <w:rsid w:val="503432C3"/>
    <w:rsid w:val="50401D15"/>
    <w:rsid w:val="50574913"/>
    <w:rsid w:val="50A66D51"/>
    <w:rsid w:val="50BF0E2E"/>
    <w:rsid w:val="50C12993"/>
    <w:rsid w:val="50D2419C"/>
    <w:rsid w:val="50E02CD6"/>
    <w:rsid w:val="50E42CB0"/>
    <w:rsid w:val="513B633E"/>
    <w:rsid w:val="513D203A"/>
    <w:rsid w:val="51531A6C"/>
    <w:rsid w:val="51567864"/>
    <w:rsid w:val="517643C8"/>
    <w:rsid w:val="517E226F"/>
    <w:rsid w:val="51AA4E40"/>
    <w:rsid w:val="51E045E9"/>
    <w:rsid w:val="526155DF"/>
    <w:rsid w:val="52680B5A"/>
    <w:rsid w:val="5280613A"/>
    <w:rsid w:val="529205E0"/>
    <w:rsid w:val="52E84DE0"/>
    <w:rsid w:val="52FD01DB"/>
    <w:rsid w:val="530754D2"/>
    <w:rsid w:val="53300860"/>
    <w:rsid w:val="533C3876"/>
    <w:rsid w:val="53844AE7"/>
    <w:rsid w:val="539D0875"/>
    <w:rsid w:val="53BA1C14"/>
    <w:rsid w:val="53BC1383"/>
    <w:rsid w:val="53CA0509"/>
    <w:rsid w:val="53D35251"/>
    <w:rsid w:val="53D3625C"/>
    <w:rsid w:val="53D968FF"/>
    <w:rsid w:val="53F076BE"/>
    <w:rsid w:val="54322394"/>
    <w:rsid w:val="544F6595"/>
    <w:rsid w:val="546C5812"/>
    <w:rsid w:val="547010B9"/>
    <w:rsid w:val="547F0791"/>
    <w:rsid w:val="54802BCE"/>
    <w:rsid w:val="54FB075B"/>
    <w:rsid w:val="553C00E6"/>
    <w:rsid w:val="55784E0C"/>
    <w:rsid w:val="55892789"/>
    <w:rsid w:val="558A442E"/>
    <w:rsid w:val="5590411E"/>
    <w:rsid w:val="559856D2"/>
    <w:rsid w:val="55B24CB0"/>
    <w:rsid w:val="55C41312"/>
    <w:rsid w:val="55C86D8C"/>
    <w:rsid w:val="55D96394"/>
    <w:rsid w:val="560D3111"/>
    <w:rsid w:val="56585380"/>
    <w:rsid w:val="56A323BA"/>
    <w:rsid w:val="56DA458A"/>
    <w:rsid w:val="571B0376"/>
    <w:rsid w:val="576E2927"/>
    <w:rsid w:val="57B120FB"/>
    <w:rsid w:val="57B127CD"/>
    <w:rsid w:val="581C1DB9"/>
    <w:rsid w:val="586A4D64"/>
    <w:rsid w:val="589C25D9"/>
    <w:rsid w:val="58B73ADA"/>
    <w:rsid w:val="58F601ED"/>
    <w:rsid w:val="59367DBA"/>
    <w:rsid w:val="59495B04"/>
    <w:rsid w:val="59527078"/>
    <w:rsid w:val="59666D42"/>
    <w:rsid w:val="59947EB5"/>
    <w:rsid w:val="59A964B9"/>
    <w:rsid w:val="59B26C6C"/>
    <w:rsid w:val="59CD4232"/>
    <w:rsid w:val="5A0200CA"/>
    <w:rsid w:val="5A291903"/>
    <w:rsid w:val="5A3E4C4F"/>
    <w:rsid w:val="5A5D01F0"/>
    <w:rsid w:val="5A624FF1"/>
    <w:rsid w:val="5A66700E"/>
    <w:rsid w:val="5A713458"/>
    <w:rsid w:val="5AB26ABE"/>
    <w:rsid w:val="5ACB2C86"/>
    <w:rsid w:val="5ACB52EA"/>
    <w:rsid w:val="5AD308C6"/>
    <w:rsid w:val="5B0D6FD5"/>
    <w:rsid w:val="5B2F62D0"/>
    <w:rsid w:val="5B592AD9"/>
    <w:rsid w:val="5B88357F"/>
    <w:rsid w:val="5B9C78AD"/>
    <w:rsid w:val="5BAD3D92"/>
    <w:rsid w:val="5C067495"/>
    <w:rsid w:val="5C1F13DD"/>
    <w:rsid w:val="5C7B1C6B"/>
    <w:rsid w:val="5CAE2467"/>
    <w:rsid w:val="5CC434F8"/>
    <w:rsid w:val="5CD41102"/>
    <w:rsid w:val="5CD71660"/>
    <w:rsid w:val="5D264D59"/>
    <w:rsid w:val="5D290C5C"/>
    <w:rsid w:val="5D6C0F01"/>
    <w:rsid w:val="5D867260"/>
    <w:rsid w:val="5DA24988"/>
    <w:rsid w:val="5DAB6D62"/>
    <w:rsid w:val="5DB34DA5"/>
    <w:rsid w:val="5E4A40A3"/>
    <w:rsid w:val="5E660288"/>
    <w:rsid w:val="5E7C01A8"/>
    <w:rsid w:val="5E8E03EC"/>
    <w:rsid w:val="5F350BD6"/>
    <w:rsid w:val="5F3D71BB"/>
    <w:rsid w:val="5F964E78"/>
    <w:rsid w:val="60052860"/>
    <w:rsid w:val="602B19D6"/>
    <w:rsid w:val="602B5AEC"/>
    <w:rsid w:val="60400848"/>
    <w:rsid w:val="604D3F02"/>
    <w:rsid w:val="60A03782"/>
    <w:rsid w:val="60A53DDD"/>
    <w:rsid w:val="60DD176B"/>
    <w:rsid w:val="60F2239F"/>
    <w:rsid w:val="61124671"/>
    <w:rsid w:val="6126538A"/>
    <w:rsid w:val="6133141E"/>
    <w:rsid w:val="61447841"/>
    <w:rsid w:val="617B0613"/>
    <w:rsid w:val="61FC4C60"/>
    <w:rsid w:val="624A01A3"/>
    <w:rsid w:val="624A4EA4"/>
    <w:rsid w:val="626F53AC"/>
    <w:rsid w:val="62E10C8C"/>
    <w:rsid w:val="62F017C4"/>
    <w:rsid w:val="62F960F9"/>
    <w:rsid w:val="62FD478E"/>
    <w:rsid w:val="63146ADF"/>
    <w:rsid w:val="634E0DF9"/>
    <w:rsid w:val="63566157"/>
    <w:rsid w:val="638D3E86"/>
    <w:rsid w:val="63A10243"/>
    <w:rsid w:val="63CC68C3"/>
    <w:rsid w:val="642E2361"/>
    <w:rsid w:val="644A5A87"/>
    <w:rsid w:val="644F4160"/>
    <w:rsid w:val="64541F50"/>
    <w:rsid w:val="64565F69"/>
    <w:rsid w:val="645C5628"/>
    <w:rsid w:val="64776CFC"/>
    <w:rsid w:val="648723C4"/>
    <w:rsid w:val="64B660FE"/>
    <w:rsid w:val="64B915A0"/>
    <w:rsid w:val="64BD5D69"/>
    <w:rsid w:val="64CF1F08"/>
    <w:rsid w:val="64D249F7"/>
    <w:rsid w:val="64EF1B24"/>
    <w:rsid w:val="65267454"/>
    <w:rsid w:val="652D5F89"/>
    <w:rsid w:val="65345DF7"/>
    <w:rsid w:val="658D0EEA"/>
    <w:rsid w:val="65955196"/>
    <w:rsid w:val="659A0B4D"/>
    <w:rsid w:val="65A87068"/>
    <w:rsid w:val="65B017E6"/>
    <w:rsid w:val="65B87469"/>
    <w:rsid w:val="65C07D72"/>
    <w:rsid w:val="65CA7AF9"/>
    <w:rsid w:val="65E75312"/>
    <w:rsid w:val="663C5EDF"/>
    <w:rsid w:val="663E2995"/>
    <w:rsid w:val="665A5F08"/>
    <w:rsid w:val="667032B0"/>
    <w:rsid w:val="66961E11"/>
    <w:rsid w:val="66D80271"/>
    <w:rsid w:val="66EE09AF"/>
    <w:rsid w:val="67040094"/>
    <w:rsid w:val="670B26F9"/>
    <w:rsid w:val="676549E1"/>
    <w:rsid w:val="67CE7299"/>
    <w:rsid w:val="683B5AFE"/>
    <w:rsid w:val="68411A36"/>
    <w:rsid w:val="684B69AA"/>
    <w:rsid w:val="68AA22D5"/>
    <w:rsid w:val="68BB6857"/>
    <w:rsid w:val="68C04904"/>
    <w:rsid w:val="68CA7AA3"/>
    <w:rsid w:val="68ED52DD"/>
    <w:rsid w:val="69223C53"/>
    <w:rsid w:val="699039CA"/>
    <w:rsid w:val="69A80DB9"/>
    <w:rsid w:val="69B16299"/>
    <w:rsid w:val="6A0C54A6"/>
    <w:rsid w:val="6A57178C"/>
    <w:rsid w:val="6A7E539B"/>
    <w:rsid w:val="6A841E51"/>
    <w:rsid w:val="6ACE264E"/>
    <w:rsid w:val="6AEF0D50"/>
    <w:rsid w:val="6B1C3AD0"/>
    <w:rsid w:val="6B294E21"/>
    <w:rsid w:val="6B3547A7"/>
    <w:rsid w:val="6B496740"/>
    <w:rsid w:val="6B4D0F71"/>
    <w:rsid w:val="6B550136"/>
    <w:rsid w:val="6B8006BB"/>
    <w:rsid w:val="6BA17492"/>
    <w:rsid w:val="6BB55FBE"/>
    <w:rsid w:val="6BBD4F0E"/>
    <w:rsid w:val="6BE03D79"/>
    <w:rsid w:val="6C014042"/>
    <w:rsid w:val="6C1872DC"/>
    <w:rsid w:val="6C756BE6"/>
    <w:rsid w:val="6C992641"/>
    <w:rsid w:val="6D0C58BC"/>
    <w:rsid w:val="6D2C740B"/>
    <w:rsid w:val="6DE94C25"/>
    <w:rsid w:val="6DEA75CD"/>
    <w:rsid w:val="6E1D7049"/>
    <w:rsid w:val="6E237D17"/>
    <w:rsid w:val="6E6774FA"/>
    <w:rsid w:val="6EA0747E"/>
    <w:rsid w:val="6EB9204E"/>
    <w:rsid w:val="6EBB086F"/>
    <w:rsid w:val="6ECC2B38"/>
    <w:rsid w:val="6ED1002C"/>
    <w:rsid w:val="6EF05368"/>
    <w:rsid w:val="6F1A4E40"/>
    <w:rsid w:val="6FC02EE9"/>
    <w:rsid w:val="702E411C"/>
    <w:rsid w:val="703F2821"/>
    <w:rsid w:val="70484EC9"/>
    <w:rsid w:val="70961351"/>
    <w:rsid w:val="70994DA7"/>
    <w:rsid w:val="70B65BE3"/>
    <w:rsid w:val="70EB10BF"/>
    <w:rsid w:val="70EB1E13"/>
    <w:rsid w:val="71065B87"/>
    <w:rsid w:val="71696C7A"/>
    <w:rsid w:val="71A01CF0"/>
    <w:rsid w:val="71BC6DC9"/>
    <w:rsid w:val="71FD472E"/>
    <w:rsid w:val="72054427"/>
    <w:rsid w:val="72054876"/>
    <w:rsid w:val="72145306"/>
    <w:rsid w:val="7215105C"/>
    <w:rsid w:val="726C28BF"/>
    <w:rsid w:val="728B5E80"/>
    <w:rsid w:val="72BE75AD"/>
    <w:rsid w:val="72C84AFF"/>
    <w:rsid w:val="72D16C68"/>
    <w:rsid w:val="72D935E1"/>
    <w:rsid w:val="72F32F65"/>
    <w:rsid w:val="730947CF"/>
    <w:rsid w:val="73190B08"/>
    <w:rsid w:val="73467F34"/>
    <w:rsid w:val="73785296"/>
    <w:rsid w:val="73863B37"/>
    <w:rsid w:val="738C05CD"/>
    <w:rsid w:val="73E94C8A"/>
    <w:rsid w:val="740A1E39"/>
    <w:rsid w:val="740F4F1D"/>
    <w:rsid w:val="74321859"/>
    <w:rsid w:val="743D1B78"/>
    <w:rsid w:val="747C3D3D"/>
    <w:rsid w:val="74972384"/>
    <w:rsid w:val="74B12199"/>
    <w:rsid w:val="74D46946"/>
    <w:rsid w:val="74EF3261"/>
    <w:rsid w:val="74F125E6"/>
    <w:rsid w:val="74FA3885"/>
    <w:rsid w:val="750859DA"/>
    <w:rsid w:val="751333F7"/>
    <w:rsid w:val="75671677"/>
    <w:rsid w:val="758E1EA5"/>
    <w:rsid w:val="75966EF5"/>
    <w:rsid w:val="75A46AF8"/>
    <w:rsid w:val="75EE1E35"/>
    <w:rsid w:val="76054F9B"/>
    <w:rsid w:val="76094A95"/>
    <w:rsid w:val="760F6EA1"/>
    <w:rsid w:val="768609A9"/>
    <w:rsid w:val="76AC1312"/>
    <w:rsid w:val="771C395F"/>
    <w:rsid w:val="773F2B29"/>
    <w:rsid w:val="77703B0D"/>
    <w:rsid w:val="77870DCD"/>
    <w:rsid w:val="77B522C8"/>
    <w:rsid w:val="77E95E57"/>
    <w:rsid w:val="78057BE6"/>
    <w:rsid w:val="78115EF8"/>
    <w:rsid w:val="78470113"/>
    <w:rsid w:val="78484923"/>
    <w:rsid w:val="78506BD4"/>
    <w:rsid w:val="786D12B4"/>
    <w:rsid w:val="78710EF6"/>
    <w:rsid w:val="788E2705"/>
    <w:rsid w:val="789B0180"/>
    <w:rsid w:val="78A51AC5"/>
    <w:rsid w:val="78D93B2D"/>
    <w:rsid w:val="79160CD6"/>
    <w:rsid w:val="7945388D"/>
    <w:rsid w:val="795536F9"/>
    <w:rsid w:val="79760741"/>
    <w:rsid w:val="79A87B3F"/>
    <w:rsid w:val="79DE6479"/>
    <w:rsid w:val="7A030D97"/>
    <w:rsid w:val="7AB042DD"/>
    <w:rsid w:val="7AC5756A"/>
    <w:rsid w:val="7AED6531"/>
    <w:rsid w:val="7B29735A"/>
    <w:rsid w:val="7B2B2B44"/>
    <w:rsid w:val="7B2E45F2"/>
    <w:rsid w:val="7B2E6F65"/>
    <w:rsid w:val="7B655242"/>
    <w:rsid w:val="7BA75209"/>
    <w:rsid w:val="7BA9501C"/>
    <w:rsid w:val="7BB57753"/>
    <w:rsid w:val="7BED2D1F"/>
    <w:rsid w:val="7C003A76"/>
    <w:rsid w:val="7C127D98"/>
    <w:rsid w:val="7CC773AE"/>
    <w:rsid w:val="7CD0102F"/>
    <w:rsid w:val="7CF42441"/>
    <w:rsid w:val="7DA05EA4"/>
    <w:rsid w:val="7DB53C49"/>
    <w:rsid w:val="7DF81818"/>
    <w:rsid w:val="7E9E2E6B"/>
    <w:rsid w:val="7EAA3627"/>
    <w:rsid w:val="7EB3185D"/>
    <w:rsid w:val="7EDB5264"/>
    <w:rsid w:val="7EDF52BE"/>
    <w:rsid w:val="7EF050BF"/>
    <w:rsid w:val="7F0F0B7E"/>
    <w:rsid w:val="7F201213"/>
    <w:rsid w:val="7F9C1D22"/>
    <w:rsid w:val="7FF60C35"/>
    <w:rsid w:val="7FFF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1"/>
        <w:left w:val="none" w:color="auto" w:sz="0" w:space="4"/>
        <w:bottom w:val="none" w:color="auto" w:sz="0" w:space="1"/>
        <w:right w:val="none" w:color="auto" w:sz="0" w:space="4"/>
      </w:pBdr>
      <w:adjustRightInd w:val="0"/>
      <w:ind w:firstLine="482"/>
    </w:pPr>
    <w:rPr>
      <w:rFonts w:ascii="Calibri" w:hAnsi="Calibri" w:eastAsia="仿宋" w:cs="宋体"/>
      <w:kern w:val="2"/>
      <w:sz w:val="28"/>
      <w:szCs w:val="24"/>
      <w:lang w:val="en-US" w:eastAsia="zh-CN" w:bidi="ar-SA"/>
    </w:rPr>
  </w:style>
  <w:style w:type="paragraph" w:styleId="3">
    <w:name w:val="heading 1"/>
    <w:basedOn w:val="1"/>
    <w:next w:val="1"/>
    <w:qFormat/>
    <w:uiPriority w:val="0"/>
    <w:pPr>
      <w:keepNext/>
      <w:keepLines/>
      <w:spacing w:before="340" w:after="330" w:line="396" w:lineRule="auto"/>
      <w:ind w:firstLine="0"/>
      <w:jc w:val="center"/>
      <w:outlineLvl w:val="0"/>
    </w:pPr>
    <w:rPr>
      <w:rFonts w:eastAsia="黑体" w:cs="Times New Roman"/>
      <w:b/>
      <w:kern w:val="44"/>
      <w:sz w:val="32"/>
    </w:rPr>
  </w:style>
  <w:style w:type="paragraph" w:styleId="4">
    <w:name w:val="heading 2"/>
    <w:basedOn w:val="1"/>
    <w:next w:val="1"/>
    <w:link w:val="26"/>
    <w:qFormat/>
    <w:uiPriority w:val="0"/>
    <w:pPr>
      <w:keepNext/>
      <w:keepLines/>
      <w:pBdr>
        <w:top w:val="none" w:color="auto" w:sz="0" w:space="0"/>
        <w:left w:val="none" w:color="auto" w:sz="0" w:space="0"/>
        <w:bottom w:val="none" w:color="auto" w:sz="0" w:space="0"/>
        <w:right w:val="none" w:color="auto" w:sz="0" w:space="0"/>
      </w:pBdr>
      <w:adjustRightInd/>
      <w:spacing w:before="260" w:after="260" w:line="416" w:lineRule="auto"/>
      <w:ind w:firstLine="0"/>
      <w:jc w:val="both"/>
      <w:outlineLvl w:val="1"/>
    </w:pPr>
    <w:rPr>
      <w:rFonts w:ascii="等线 Light" w:hAnsi="等线 Light" w:eastAsia="等线 Light" w:cs="Times New Roman"/>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spacing w:before="280" w:after="290" w:line="372" w:lineRule="auto"/>
      <w:outlineLvl w:val="4"/>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jc w:val="center"/>
      <w:outlineLvl w:val="0"/>
    </w:pPr>
    <w:rPr>
      <w:rFonts w:hint="eastAsia" w:ascii="方正小标宋简体" w:hAnsi="Times New Roman" w:eastAsia="方正小标宋简体" w:cs="Times New Roman"/>
      <w:bCs/>
      <w:iCs/>
      <w:sz w:val="24"/>
    </w:rPr>
  </w:style>
  <w:style w:type="paragraph" w:styleId="8">
    <w:name w:val="Normal Indent"/>
    <w:basedOn w:val="1"/>
    <w:unhideWhenUsed/>
    <w:qFormat/>
    <w:uiPriority w:val="99"/>
    <w:pPr>
      <w:adjustRightInd/>
      <w:ind w:firstLine="420" w:firstLineChars="200"/>
      <w:jc w:val="both"/>
    </w:pPr>
    <w:rPr>
      <w:sz w:val="24"/>
    </w:rPr>
  </w:style>
  <w:style w:type="paragraph" w:styleId="9">
    <w:name w:val="Body Text"/>
    <w:basedOn w:val="1"/>
    <w:next w:val="10"/>
    <w:unhideWhenUsed/>
    <w:qFormat/>
    <w:uiPriority w:val="99"/>
    <w:pPr>
      <w:spacing w:after="120"/>
    </w:pPr>
  </w:style>
  <w:style w:type="paragraph" w:styleId="10">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11">
    <w:name w:val="Body Text Indent"/>
    <w:basedOn w:val="1"/>
    <w:qFormat/>
    <w:uiPriority w:val="0"/>
    <w:pPr>
      <w:autoSpaceDE w:val="0"/>
      <w:autoSpaceDN w:val="0"/>
      <w:adjustRightInd w:val="0"/>
      <w:spacing w:line="560" w:lineRule="exact"/>
      <w:ind w:firstLine="645"/>
    </w:pPr>
    <w:rPr>
      <w:rFonts w:eastAsia="仿宋_GB2312"/>
      <w:sz w:val="32"/>
      <w:szCs w:val="24"/>
    </w:rPr>
  </w:style>
  <w:style w:type="paragraph" w:styleId="12">
    <w:name w:val="Balloon Text"/>
    <w:basedOn w:val="1"/>
    <w:link w:val="27"/>
    <w:qFormat/>
    <w:uiPriority w:val="0"/>
    <w:rPr>
      <w:sz w:val="18"/>
      <w:szCs w:val="18"/>
    </w:rPr>
  </w:style>
  <w:style w:type="paragraph" w:styleId="13">
    <w:name w:val="footer"/>
    <w:basedOn w:val="1"/>
    <w:link w:val="24"/>
    <w:qFormat/>
    <w:uiPriority w:val="0"/>
    <w:pPr>
      <w:tabs>
        <w:tab w:val="center" w:pos="4153"/>
        <w:tab w:val="right" w:pos="8306"/>
      </w:tabs>
      <w:snapToGrid w:val="0"/>
    </w:pPr>
    <w:rPr>
      <w:rFonts w:eastAsia="宋体" w:cs="Times New Roman"/>
      <w:sz w:val="18"/>
      <w:szCs w:val="18"/>
    </w:rPr>
  </w:style>
  <w:style w:type="paragraph" w:styleId="14">
    <w:name w:val="header"/>
    <w:basedOn w:val="1"/>
    <w:link w:val="23"/>
    <w:qFormat/>
    <w:uiPriority w:val="0"/>
    <w:pPr>
      <w:pBdr>
        <w:bottom w:val="single" w:color="auto" w:sz="6" w:space="1"/>
      </w:pBdr>
      <w:tabs>
        <w:tab w:val="center" w:pos="4153"/>
        <w:tab w:val="right" w:pos="8306"/>
      </w:tabs>
      <w:snapToGrid w:val="0"/>
      <w:jc w:val="center"/>
    </w:pPr>
    <w:rPr>
      <w:rFonts w:eastAsia="宋体" w:cs="Times New Roman"/>
      <w:sz w:val="18"/>
      <w:szCs w:val="18"/>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uiPriority w:val="39"/>
    <w:pPr>
      <w:ind w:left="420" w:leftChars="200"/>
    </w:pPr>
  </w:style>
  <w:style w:type="paragraph" w:styleId="17">
    <w:name w:val="Normal (Web)"/>
    <w:basedOn w:val="1"/>
    <w:unhideWhenUsed/>
    <w:qFormat/>
    <w:uiPriority w:val="99"/>
    <w:pPr>
      <w:widowControl/>
      <w:pBdr>
        <w:top w:val="none" w:color="auto" w:sz="0" w:space="0"/>
        <w:left w:val="none" w:color="auto" w:sz="0" w:space="0"/>
        <w:bottom w:val="none" w:color="auto" w:sz="0" w:space="0"/>
        <w:right w:val="none" w:color="auto" w:sz="0" w:space="0"/>
      </w:pBdr>
      <w:adjustRightInd/>
      <w:spacing w:before="100" w:beforeAutospacing="1" w:after="100" w:afterAutospacing="1"/>
      <w:ind w:firstLine="0"/>
    </w:pPr>
    <w:rPr>
      <w:rFonts w:ascii="宋体" w:hAnsi="宋体" w:eastAsia="宋体"/>
      <w:kern w:val="0"/>
      <w:sz w:val="24"/>
    </w:rPr>
  </w:style>
  <w:style w:type="table" w:styleId="19">
    <w:name w:val="Table Grid"/>
    <w:basedOn w:val="18"/>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qFormat/>
    <w:uiPriority w:val="22"/>
    <w:rPr>
      <w:rFonts w:ascii="Calibri" w:hAnsi="Calibri" w:eastAsia="宋体" w:cs="Times New Roman"/>
      <w:b/>
      <w:bCs/>
    </w:rPr>
  </w:style>
  <w:style w:type="character" w:styleId="22">
    <w:name w:val="Hyperlink"/>
    <w:qFormat/>
    <w:uiPriority w:val="99"/>
    <w:rPr>
      <w:rFonts w:ascii="Calibri" w:hAnsi="Calibri" w:eastAsia="宋体" w:cs="Times New Roman"/>
      <w:color w:val="0563C1"/>
      <w:u w:val="single"/>
    </w:rPr>
  </w:style>
  <w:style w:type="character" w:customStyle="1" w:styleId="23">
    <w:name w:val="页眉 Char"/>
    <w:link w:val="14"/>
    <w:qFormat/>
    <w:uiPriority w:val="0"/>
    <w:rPr>
      <w:rFonts w:ascii="Times New Roman" w:hAnsi="Times New Roman" w:eastAsia="仿宋" w:cs="宋体"/>
      <w:kern w:val="2"/>
      <w:sz w:val="18"/>
      <w:szCs w:val="18"/>
    </w:rPr>
  </w:style>
  <w:style w:type="character" w:customStyle="1" w:styleId="24">
    <w:name w:val="页脚 Char"/>
    <w:link w:val="13"/>
    <w:qFormat/>
    <w:uiPriority w:val="0"/>
    <w:rPr>
      <w:rFonts w:ascii="Times New Roman" w:hAnsi="Times New Roman" w:eastAsia="仿宋" w:cs="宋体"/>
      <w:kern w:val="2"/>
      <w:sz w:val="18"/>
      <w:szCs w:val="18"/>
    </w:rPr>
  </w:style>
  <w:style w:type="character" w:customStyle="1" w:styleId="25">
    <w:name w:val="访问过的超链接1"/>
    <w:qFormat/>
    <w:uiPriority w:val="0"/>
    <w:rPr>
      <w:rFonts w:ascii="Calibri" w:hAnsi="Calibri" w:eastAsia="宋体" w:cs="Times New Roman"/>
      <w:color w:val="383838"/>
      <w:u w:val="none"/>
    </w:rPr>
  </w:style>
  <w:style w:type="character" w:customStyle="1" w:styleId="26">
    <w:name w:val="标题 2 Char"/>
    <w:link w:val="4"/>
    <w:qFormat/>
    <w:uiPriority w:val="0"/>
    <w:rPr>
      <w:rFonts w:ascii="等线 Light" w:hAnsi="等线 Light" w:eastAsia="等线 Light" w:cs="Times New Roman"/>
      <w:b/>
      <w:bCs/>
      <w:kern w:val="2"/>
      <w:sz w:val="32"/>
      <w:szCs w:val="32"/>
    </w:rPr>
  </w:style>
  <w:style w:type="character" w:customStyle="1" w:styleId="27">
    <w:name w:val="批注框文本 Char"/>
    <w:link w:val="12"/>
    <w:qFormat/>
    <w:uiPriority w:val="0"/>
    <w:rPr>
      <w:rFonts w:ascii="Calibri" w:hAnsi="Calibri" w:eastAsia="仿宋" w:cs="宋体"/>
      <w:kern w:val="2"/>
      <w:sz w:val="18"/>
      <w:szCs w:val="18"/>
    </w:rPr>
  </w:style>
  <w:style w:type="character" w:customStyle="1" w:styleId="28">
    <w:name w:val="layui-this"/>
    <w:qFormat/>
    <w:uiPriority w:val="0"/>
    <w:rPr>
      <w:rFonts w:ascii="Calibri" w:hAnsi="Calibri" w:eastAsia="宋体" w:cs="Times New Roman"/>
      <w:bdr w:val="single" w:color="EEEEEE" w:sz="4" w:space="0"/>
      <w:shd w:val="clear" w:color="auto" w:fill="FFFFFF"/>
    </w:rPr>
  </w:style>
  <w:style w:type="character" w:customStyle="1" w:styleId="29">
    <w:name w:val="first-child"/>
    <w:basedOn w:val="20"/>
    <w:qFormat/>
    <w:uiPriority w:val="0"/>
  </w:style>
  <w:style w:type="paragraph" w:customStyle="1" w:styleId="30">
    <w:name w:val="正文文本首行缩进 2"/>
    <w:basedOn w:val="1"/>
    <w:next w:val="1"/>
    <w:qFormat/>
    <w:uiPriority w:val="0"/>
    <w:pPr>
      <w:ind w:firstLine="420" w:firstLineChars="200"/>
    </w:pPr>
  </w:style>
  <w:style w:type="paragraph" w:customStyle="1" w:styleId="31">
    <w:name w:val="目录 11"/>
    <w:basedOn w:val="1"/>
    <w:next w:val="1"/>
    <w:qFormat/>
    <w:uiPriority w:val="39"/>
  </w:style>
  <w:style w:type="paragraph" w:customStyle="1" w:styleId="32">
    <w:name w:val="目录 21"/>
    <w:basedOn w:val="1"/>
    <w:next w:val="1"/>
    <w:qFormat/>
    <w:uiPriority w:val="39"/>
    <w:pPr>
      <w:ind w:left="420" w:leftChars="200"/>
    </w:pPr>
  </w:style>
  <w:style w:type="paragraph" w:customStyle="1" w:styleId="33">
    <w:name w:val="正文文本首行缩进"/>
    <w:basedOn w:val="9"/>
    <w:unhideWhenUsed/>
    <w:qFormat/>
    <w:uiPriority w:val="99"/>
    <w:pPr>
      <w:ind w:firstLine="420" w:firstLineChars="100"/>
    </w:pPr>
  </w:style>
  <w:style w:type="paragraph" w:customStyle="1" w:styleId="34">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5">
    <w:name w:val="WPSOffice手动目录 3"/>
    <w:qFormat/>
    <w:uiPriority w:val="0"/>
    <w:pPr>
      <w:ind w:left="400" w:leftChars="400"/>
    </w:pPr>
    <w:rPr>
      <w:rFonts w:ascii="Calibri" w:hAnsi="Calibri" w:eastAsia="宋体" w:cs="Times New Roman"/>
      <w:lang w:val="en-US" w:eastAsia="zh-CN" w:bidi="ar-SA"/>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楷体GB3号"/>
    <w:basedOn w:val="1"/>
    <w:qFormat/>
    <w:uiPriority w:val="0"/>
    <w:pPr>
      <w:spacing w:before="240" w:after="240"/>
      <w:ind w:left="100" w:leftChars="100"/>
      <w:jc w:val="center"/>
    </w:pPr>
    <w:rPr>
      <w:rFonts w:eastAsia="楷体_GB2312"/>
      <w:sz w:val="32"/>
    </w:rPr>
  </w:style>
  <w:style w:type="paragraph" w:customStyle="1" w:styleId="38">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彩色底纹 - 着色 1"/>
    <w:hidden/>
    <w:unhideWhenUsed/>
    <w:qFormat/>
    <w:uiPriority w:val="99"/>
    <w:rPr>
      <w:rFonts w:ascii="Calibri" w:hAnsi="Calibri" w:eastAsia="仿宋" w:cs="宋体"/>
      <w:kern w:val="2"/>
      <w:sz w:val="28"/>
      <w:szCs w:val="24"/>
      <w:lang w:val="en-US" w:eastAsia="zh-CN" w:bidi="ar-SA"/>
    </w:rPr>
  </w:style>
  <w:style w:type="paragraph" w:customStyle="1" w:styleId="41">
    <w:name w:val="列出段落1"/>
    <w:basedOn w:val="1"/>
    <w:unhideWhenUsed/>
    <w:qFormat/>
    <w:uiPriority w:val="99"/>
    <w:pPr>
      <w:ind w:firstLine="420" w:firstLineChars="200"/>
    </w:pPr>
  </w:style>
  <w:style w:type="character" w:customStyle="1" w:styleId="42">
    <w:name w:val="font112"/>
    <w:basedOn w:val="20"/>
    <w:qFormat/>
    <w:uiPriority w:val="0"/>
    <w:rPr>
      <w:rFonts w:hint="eastAsia" w:ascii="方正小标宋简体" w:hAnsi="方正小标宋简体" w:eastAsia="方正小标宋简体" w:cs="方正小标宋简体"/>
      <w:b/>
      <w:color w:val="000000"/>
      <w:sz w:val="40"/>
      <w:szCs w:val="40"/>
      <w:u w:val="none"/>
    </w:rPr>
  </w:style>
  <w:style w:type="character" w:customStyle="1" w:styleId="43">
    <w:name w:val="font31"/>
    <w:basedOn w:val="20"/>
    <w:qFormat/>
    <w:uiPriority w:val="0"/>
    <w:rPr>
      <w:rFonts w:hint="eastAsia" w:ascii="黑体" w:hAnsi="宋体" w:eastAsia="黑体" w:cs="黑体"/>
      <w:color w:val="000000"/>
      <w:sz w:val="24"/>
      <w:szCs w:val="24"/>
      <w:u w:val="none"/>
    </w:rPr>
  </w:style>
  <w:style w:type="character" w:customStyle="1" w:styleId="44">
    <w:name w:val="font41"/>
    <w:basedOn w:val="20"/>
    <w:qFormat/>
    <w:uiPriority w:val="0"/>
    <w:rPr>
      <w:rFonts w:hint="default" w:ascii="Times New Roman" w:hAnsi="Times New Roman" w:cs="Times New Roman"/>
      <w:color w:val="000000"/>
      <w:sz w:val="24"/>
      <w:szCs w:val="24"/>
      <w:u w:val="none"/>
    </w:rPr>
  </w:style>
  <w:style w:type="character" w:customStyle="1" w:styleId="45">
    <w:name w:val="font81"/>
    <w:basedOn w:val="20"/>
    <w:qFormat/>
    <w:uiPriority w:val="0"/>
    <w:rPr>
      <w:rFonts w:hint="eastAsia" w:ascii="黑体" w:hAnsi="宋体" w:eastAsia="黑体" w:cs="黑体"/>
      <w:color w:val="000000"/>
      <w:sz w:val="22"/>
      <w:szCs w:val="22"/>
      <w:u w:val="none"/>
    </w:rPr>
  </w:style>
  <w:style w:type="character" w:customStyle="1" w:styleId="46">
    <w:name w:val="font51"/>
    <w:basedOn w:val="20"/>
    <w:qFormat/>
    <w:uiPriority w:val="0"/>
    <w:rPr>
      <w:rFonts w:hint="eastAsia" w:ascii="仿宋_GB2312" w:eastAsia="仿宋_GB2312" w:cs="仿宋_GB2312"/>
      <w:color w:val="000000"/>
      <w:sz w:val="24"/>
      <w:szCs w:val="24"/>
      <w:u w:val="none"/>
    </w:rPr>
  </w:style>
  <w:style w:type="character" w:customStyle="1" w:styleId="47">
    <w:name w:val="font01"/>
    <w:basedOn w:val="20"/>
    <w:qFormat/>
    <w:uiPriority w:val="0"/>
    <w:rPr>
      <w:rFonts w:hint="eastAsia" w:ascii="仿宋_GB2312" w:eastAsia="仿宋_GB2312" w:cs="仿宋_GB2312"/>
      <w:b/>
      <w:color w:val="000000"/>
      <w:sz w:val="22"/>
      <w:szCs w:val="22"/>
      <w:u w:val="none"/>
    </w:rPr>
  </w:style>
  <w:style w:type="character" w:customStyle="1" w:styleId="48">
    <w:name w:val="font91"/>
    <w:basedOn w:val="20"/>
    <w:qFormat/>
    <w:uiPriority w:val="0"/>
    <w:rPr>
      <w:rFonts w:hint="default" w:ascii="Times New Roman" w:hAnsi="Times New Roman" w:cs="Times New Roman"/>
      <w:b/>
      <w:color w:val="000000"/>
      <w:sz w:val="22"/>
      <w:szCs w:val="22"/>
      <w:u w:val="none"/>
    </w:rPr>
  </w:style>
  <w:style w:type="character" w:customStyle="1" w:styleId="49">
    <w:name w:val="font21"/>
    <w:basedOn w:val="20"/>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5FEA3-58DA-4575-83FD-BEF9557834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2038</Words>
  <Characters>11622</Characters>
  <Lines>96</Lines>
  <Paragraphs>27</Paragraphs>
  <TotalTime>31</TotalTime>
  <ScaleCrop>false</ScaleCrop>
  <LinksUpToDate>false</LinksUpToDate>
  <CharactersWithSpaces>13633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2021-11-08T03:25:00Z</dcterms:created>
  <dc:creator>Administrator</dc:creator>
  <cp:lastModifiedBy>沙堆党政办</cp:lastModifiedBy>
  <cp:lastPrinted>2021-11-12T06:39:00Z</cp:lastPrinted>
  <dcterms:modified xsi:type="dcterms:W3CDTF">2022-01-28T07:10:34Z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KSOSaveFontToCloudKey">
    <vt:lpwstr>407976503_btnclosed</vt:lpwstr>
  </property>
  <property fmtid="{D5CDD505-2E9C-101B-9397-08002B2CF9AE}" pid="4" name="ICV">
    <vt:lpwstr>EEB9C808DEA84763B5736C94A49E25DF</vt:lpwstr>
  </property>
</Properties>
</file>