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黑体" w:hAnsi="黑体" w:eastAsia="黑体"/>
          <w:color w:val="000000"/>
          <w:sz w:val="32"/>
          <w:szCs w:val="32"/>
        </w:rPr>
      </w:pPr>
      <w:bookmarkStart w:id="0" w:name="_GoBack"/>
      <w:bookmarkEnd w:id="0"/>
      <w:r>
        <w:rPr>
          <w:rFonts w:hint="eastAsia" w:ascii="黑体" w:hAnsi="黑体" w:eastAsia="黑体"/>
          <w:color w:val="000000"/>
          <w:sz w:val="32"/>
          <w:szCs w:val="32"/>
        </w:rPr>
        <w:t>附件2</w:t>
      </w:r>
    </w:p>
    <w:tbl>
      <w:tblPr>
        <w:tblStyle w:val="8"/>
        <w:tblW w:w="10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2"/>
        <w:gridCol w:w="1869"/>
        <w:gridCol w:w="1261"/>
        <w:gridCol w:w="120"/>
        <w:gridCol w:w="360"/>
        <w:gridCol w:w="285"/>
        <w:gridCol w:w="15"/>
        <w:gridCol w:w="555"/>
        <w:gridCol w:w="405"/>
        <w:gridCol w:w="510"/>
        <w:gridCol w:w="285"/>
        <w:gridCol w:w="45"/>
        <w:gridCol w:w="60"/>
        <w:gridCol w:w="60"/>
        <w:gridCol w:w="60"/>
        <w:gridCol w:w="74"/>
        <w:gridCol w:w="256"/>
        <w:gridCol w:w="570"/>
        <w:gridCol w:w="195"/>
        <w:gridCol w:w="30"/>
        <w:gridCol w:w="45"/>
        <w:gridCol w:w="30"/>
        <w:gridCol w:w="224"/>
        <w:gridCol w:w="151"/>
        <w:gridCol w:w="195"/>
        <w:gridCol w:w="600"/>
        <w:gridCol w:w="60"/>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5" w:hRule="atLeast"/>
        </w:trPr>
        <w:tc>
          <w:tcPr>
            <w:tcW w:w="10105" w:type="dxa"/>
            <w:gridSpan w:val="28"/>
            <w:tcBorders>
              <w:top w:val="nil"/>
              <w:left w:val="nil"/>
              <w:right w:val="nil"/>
            </w:tcBorders>
            <w:shd w:val="clear" w:color="auto" w:fill="auto"/>
            <w:vAlign w:val="center"/>
          </w:tcPr>
          <w:p>
            <w:pPr>
              <w:widowControl/>
              <w:spacing w:line="380" w:lineRule="exact"/>
              <w:jc w:val="center"/>
              <w:textAlignment w:val="center"/>
              <w:rPr>
                <w:rFonts w:ascii="仿宋" w:hAnsi="仿宋" w:eastAsia="方正小标宋_GBK" w:cs="仿宋"/>
                <w:bCs/>
                <w:color w:val="000000"/>
                <w:sz w:val="28"/>
                <w:szCs w:val="28"/>
              </w:rPr>
            </w:pPr>
            <w:r>
              <w:rPr>
                <w:rFonts w:hint="eastAsia" w:ascii="方正小标宋_GBK" w:hAnsi="方正小标宋_GBK" w:eastAsia="方正小标宋_GBK" w:cs="方正小标宋_GBK"/>
                <w:bCs/>
                <w:color w:val="000000"/>
                <w:kern w:val="0"/>
                <w:sz w:val="36"/>
                <w:szCs w:val="36"/>
              </w:rPr>
              <w:t>广东省知识产权示范企业申报表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92"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t>基</w:t>
            </w:r>
          </w:p>
          <w:p>
            <w:pPr>
              <w:widowControl/>
              <w:spacing w:line="38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本</w:t>
            </w:r>
          </w:p>
          <w:p>
            <w:pPr>
              <w:widowControl/>
              <w:spacing w:line="38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信</w:t>
            </w:r>
          </w:p>
          <w:p>
            <w:pPr>
              <w:widowControl/>
              <w:spacing w:line="380" w:lineRule="exact"/>
              <w:jc w:val="center"/>
              <w:textAlignment w:val="center"/>
              <w:rPr>
                <w:rFonts w:ascii="仿宋" w:hAnsi="仿宋" w:eastAsia="仿宋" w:cs="仿宋"/>
                <w:bCs/>
                <w:color w:val="000000"/>
                <w:sz w:val="28"/>
                <w:szCs w:val="28"/>
              </w:rPr>
            </w:pP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息</w:t>
            </w: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企业名称</w:t>
            </w:r>
          </w:p>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（盖章）</w:t>
            </w:r>
          </w:p>
        </w:tc>
        <w:tc>
          <w:tcPr>
            <w:tcW w:w="7654" w:type="dxa"/>
            <w:gridSpan w:val="2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组织机构</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代码</w:t>
            </w:r>
          </w:p>
        </w:tc>
        <w:tc>
          <w:tcPr>
            <w:tcW w:w="4095" w:type="dxa"/>
            <w:gridSpan w:val="14"/>
            <w:tcBorders>
              <w:tl2br w:val="nil"/>
              <w:tr2bl w:val="nil"/>
            </w:tcBorders>
            <w:shd w:val="clear" w:color="auto" w:fill="auto"/>
            <w:vAlign w:val="center"/>
          </w:tcPr>
          <w:p>
            <w:pPr>
              <w:widowControl/>
              <w:spacing w:line="380" w:lineRule="exact"/>
              <w:jc w:val="left"/>
              <w:rPr>
                <w:rFonts w:ascii="仿宋" w:hAnsi="仿宋" w:eastAsia="仿宋" w:cs="仿宋"/>
                <w:bCs/>
                <w:color w:val="000000"/>
                <w:sz w:val="28"/>
                <w:szCs w:val="28"/>
              </w:rPr>
            </w:pPr>
          </w:p>
        </w:tc>
        <w:tc>
          <w:tcPr>
            <w:tcW w:w="1350"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注册地</w:t>
            </w:r>
          </w:p>
        </w:tc>
        <w:tc>
          <w:tcPr>
            <w:tcW w:w="2209"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所属行业代码及名称</w:t>
            </w:r>
          </w:p>
        </w:tc>
        <w:tc>
          <w:tcPr>
            <w:tcW w:w="4095" w:type="dxa"/>
            <w:gridSpan w:val="14"/>
            <w:tcBorders>
              <w:tl2br w:val="nil"/>
              <w:tr2bl w:val="nil"/>
            </w:tcBorders>
            <w:shd w:val="clear" w:color="auto" w:fill="auto"/>
            <w:vAlign w:val="center"/>
          </w:tcPr>
          <w:p>
            <w:pPr>
              <w:widowControl/>
              <w:spacing w:line="380" w:lineRule="exact"/>
              <w:jc w:val="left"/>
              <w:rPr>
                <w:rFonts w:ascii="仿宋" w:hAnsi="仿宋" w:eastAsia="仿宋" w:cs="仿宋"/>
                <w:bCs/>
                <w:color w:val="000000"/>
                <w:sz w:val="28"/>
                <w:szCs w:val="28"/>
              </w:rPr>
            </w:pPr>
          </w:p>
        </w:tc>
        <w:tc>
          <w:tcPr>
            <w:tcW w:w="1350"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注册资金</w:t>
            </w:r>
          </w:p>
        </w:tc>
        <w:tc>
          <w:tcPr>
            <w:tcW w:w="2209"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1402"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主营业务</w:t>
            </w:r>
          </w:p>
        </w:tc>
        <w:tc>
          <w:tcPr>
            <w:tcW w:w="7654" w:type="dxa"/>
            <w:gridSpan w:val="26"/>
            <w:tcBorders>
              <w:tl2br w:val="nil"/>
              <w:tr2bl w:val="nil"/>
            </w:tcBorders>
            <w:shd w:val="clear" w:color="auto" w:fill="auto"/>
            <w:vAlign w:val="center"/>
          </w:tcPr>
          <w:p>
            <w:pPr>
              <w:widowControl/>
              <w:spacing w:line="380" w:lineRule="exact"/>
              <w:jc w:val="lef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企业规模</w:t>
            </w:r>
          </w:p>
        </w:tc>
        <w:tc>
          <w:tcPr>
            <w:tcW w:w="2026"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069" w:type="dxa"/>
            <w:gridSpan w:val="10"/>
            <w:tcBorders>
              <w:tl2br w:val="nil"/>
              <w:tr2bl w:val="nil"/>
            </w:tcBorders>
            <w:shd w:val="clear" w:color="auto" w:fill="auto"/>
            <w:vAlign w:val="center"/>
          </w:tcPr>
          <w:p>
            <w:pPr>
              <w:widowControl/>
              <w:spacing w:line="380" w:lineRule="exact"/>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企业登记</w:t>
            </w:r>
          </w:p>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注册类型</w:t>
            </w:r>
          </w:p>
        </w:tc>
        <w:tc>
          <w:tcPr>
            <w:tcW w:w="1051"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是否上市</w:t>
            </w:r>
          </w:p>
        </w:tc>
        <w:tc>
          <w:tcPr>
            <w:tcW w:w="1203" w:type="dxa"/>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知识产权工作联系人信息</w:t>
            </w:r>
          </w:p>
        </w:tc>
        <w:tc>
          <w:tcPr>
            <w:tcW w:w="4095" w:type="dxa"/>
            <w:gridSpan w:val="1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第一联系人</w:t>
            </w:r>
          </w:p>
        </w:tc>
        <w:tc>
          <w:tcPr>
            <w:tcW w:w="3559"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第二联系人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姓  名</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所在部门</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职  务</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单位电话</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移动电话</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Email</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通讯地址</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邮  编</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黑体" w:hAnsi="黑体" w:eastAsia="黑体" w:cs="黑体"/>
                <w:bCs/>
                <w:color w:val="000000"/>
                <w:kern w:val="0"/>
                <w:sz w:val="28"/>
                <w:szCs w:val="28"/>
              </w:rPr>
              <w:t>知</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识</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产</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权</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创</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造</w:t>
            </w:r>
          </w:p>
        </w:tc>
        <w:tc>
          <w:tcPr>
            <w:tcW w:w="9523" w:type="dxa"/>
            <w:gridSpan w:val="2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年度财务基本信息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T为申报前一年，下同</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年度产值</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专利产品销售收入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年度研发投入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近三年专利产品销售收入与年度产值之比平均值</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近三年年度研发投入销售收入与年度产值之比平均值</w:t>
            </w: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9523" w:type="dxa"/>
            <w:gridSpan w:val="2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年度知识产权投入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专利申请</w:t>
            </w:r>
          </w:p>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投入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专利维持年费</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36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专利保护投入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18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专利奖励投入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305"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其他知识产权投入（万元）</w:t>
            </w:r>
          </w:p>
        </w:tc>
        <w:tc>
          <w:tcPr>
            <w:tcW w:w="1203"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总计</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近三年专利申请情况</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发明</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实用新型</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外观设计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申请量</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授权量</w:t>
            </w:r>
          </w:p>
        </w:tc>
        <w:tc>
          <w:tcPr>
            <w:tcW w:w="136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申请量</w:t>
            </w:r>
          </w:p>
        </w:tc>
        <w:tc>
          <w:tcPr>
            <w:tcW w:w="118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授权量</w:t>
            </w:r>
          </w:p>
        </w:tc>
        <w:tc>
          <w:tcPr>
            <w:tcW w:w="1305"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申请量</w:t>
            </w:r>
          </w:p>
        </w:tc>
        <w:tc>
          <w:tcPr>
            <w:tcW w:w="1203"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250" w:type="dxa"/>
            <w:gridSpan w:val="3"/>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近三年专利申请量</w:t>
            </w:r>
          </w:p>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sz w:val="28"/>
                <w:szCs w:val="28"/>
              </w:rPr>
              <w:t>平均增长率</w:t>
            </w: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sz w:val="28"/>
                <w:szCs w:val="28"/>
              </w:rPr>
              <w:t>近三年发明专利申请量平均增长率</w:t>
            </w: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截至上一年有效专利拥有量</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发明</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实用新型</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外观设计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近三年专利授权量增长率</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近三年发明专利授权量增长率</w:t>
            </w: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累计向国外专利数量</w:t>
            </w:r>
          </w:p>
        </w:tc>
        <w:tc>
          <w:tcPr>
            <w:tcW w:w="3901" w:type="dxa"/>
            <w:gridSpan w:val="11"/>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PCT</w:t>
            </w:r>
          </w:p>
        </w:tc>
        <w:tc>
          <w:tcPr>
            <w:tcW w:w="3753" w:type="dxa"/>
            <w:gridSpan w:val="1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巴黎公约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w:t>
            </w:r>
          </w:p>
        </w:tc>
        <w:tc>
          <w:tcPr>
            <w:tcW w:w="1305"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有效总量</w:t>
            </w:r>
          </w:p>
        </w:tc>
        <w:tc>
          <w:tcPr>
            <w:tcW w:w="1245"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w:t>
            </w:r>
          </w:p>
        </w:tc>
        <w:tc>
          <w:tcPr>
            <w:tcW w:w="124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w:t>
            </w:r>
          </w:p>
        </w:tc>
        <w:tc>
          <w:tcPr>
            <w:tcW w:w="1263" w:type="dxa"/>
            <w:gridSpan w:val="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有效总量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截至第T年底</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商标注册量</w:t>
            </w:r>
          </w:p>
        </w:tc>
        <w:tc>
          <w:tcPr>
            <w:tcW w:w="5146" w:type="dxa"/>
            <w:gridSpan w:val="1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国内商标注册情况</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国外商标注册</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注册商标（件）</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中国驰名商标（件）</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注册商标 （件）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截至第T年底</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其它知识产权拥有量</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集成电路布图设计</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总数</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计算机软件著作权登记总数</w:t>
            </w: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截至第T年底</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黑体" w:hAnsi="黑体" w:eastAsia="黑体" w:cs="黑体"/>
                <w:bCs/>
                <w:color w:val="000000"/>
                <w:kern w:val="0"/>
                <w:sz w:val="28"/>
                <w:szCs w:val="28"/>
              </w:rPr>
              <w:t>知</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识</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产</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权</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运</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用</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知识产权实施运用情况</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运用他人专利（件）</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运用自有专利（件）</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商标运用（件）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接受转让</w:t>
            </w:r>
          </w:p>
        </w:tc>
        <w:tc>
          <w:tcPr>
            <w:tcW w:w="1335"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接受许可</w:t>
            </w:r>
          </w:p>
        </w:tc>
        <w:tc>
          <w:tcPr>
            <w:tcW w:w="124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向外转让</w:t>
            </w:r>
          </w:p>
        </w:tc>
        <w:tc>
          <w:tcPr>
            <w:tcW w:w="1305"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向外许可</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转让许可总量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261"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261"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261"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知识产权运用经济效益</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专利转让许可收益</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755" w:type="dxa"/>
            <w:gridSpan w:val="9"/>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商标转让</w:t>
            </w:r>
          </w:p>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许可收益</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专利产品</w:t>
            </w:r>
          </w:p>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销售收入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863"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专利产品销售收入占企业销售收入比值（％）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转让收益</w:t>
            </w:r>
          </w:p>
        </w:tc>
        <w:tc>
          <w:tcPr>
            <w:tcW w:w="1335"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许可收益</w:t>
            </w:r>
          </w:p>
        </w:tc>
        <w:tc>
          <w:tcPr>
            <w:tcW w:w="1755" w:type="dxa"/>
            <w:gridSpan w:val="9"/>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第T年</w:t>
            </w: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知识产权</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投融资情况</w:t>
            </w: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专利实施率（％）</w:t>
            </w:r>
          </w:p>
        </w:tc>
        <w:tc>
          <w:tcPr>
            <w:tcW w:w="261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知识产权作价入股</w:t>
            </w:r>
          </w:p>
        </w:tc>
        <w:tc>
          <w:tcPr>
            <w:tcW w:w="3303" w:type="dxa"/>
            <w:gridSpan w:val="11"/>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知识产权质押融资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数量</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金额</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数量</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c>
          <w:tcPr>
            <w:tcW w:w="1863"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金额</w:t>
            </w:r>
          </w:p>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利用专利信息优化知识产权产出导向</w:t>
            </w:r>
          </w:p>
        </w:tc>
        <w:tc>
          <w:tcPr>
            <w:tcW w:w="5221" w:type="dxa"/>
            <w:gridSpan w:val="20"/>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企业是否对竞争对手专利信息进行分析</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221" w:type="dxa"/>
            <w:gridSpan w:val="20"/>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是否充分利用失效、无效专利及他国专利</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在各过程中是否进行了专利信息的检索与分析</w:t>
            </w: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战略布局与主动防御</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新产品开发、科研立项</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专利申请</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专利诉讼</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产品、技术进出口</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专利许可</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专利投融资</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中外合资合作</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黑体" w:hAnsi="黑体" w:eastAsia="黑体" w:cs="黑体"/>
                <w:bCs/>
                <w:color w:val="000000"/>
                <w:kern w:val="0"/>
                <w:sz w:val="28"/>
                <w:szCs w:val="28"/>
              </w:rPr>
              <w:t>知</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识</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产</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权</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保</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护</w:t>
            </w: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行政、司法途径</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专利行政调处（件）</w:t>
            </w: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专利司法诉讼（件）</w:t>
            </w: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商标</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版权</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其它</w:t>
            </w:r>
          </w:p>
          <w:p>
            <w:pPr>
              <w:widowControl/>
              <w:spacing w:line="380" w:lineRule="exact"/>
              <w:jc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自身途径</w:t>
            </w: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是否建立贯穿生产经营全流程的知识产权侵权预警机制和风险监控机制</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是否定期开展知识产权风险测评</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是否通过开展知识产权尽职调查。获得知识产权许可等方式，避免主观恶意侵犯他人知识产权</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是否推动建立行业知识产权维权协作机制，参与行业专利纠纷处置</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是否建立了应对国际、国内知识产权纠纷的机制，编制并适时调整相关预案</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管理体系建设</w:t>
            </w:r>
          </w:p>
        </w:tc>
        <w:tc>
          <w:tcPr>
            <w:tcW w:w="4351" w:type="dxa"/>
            <w:gridSpan w:val="1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是否通过国家标准《企业知识产权管理规范》GB/T29490-2013认证</w:t>
            </w:r>
          </w:p>
        </w:tc>
        <w:tc>
          <w:tcPr>
            <w:tcW w:w="3303" w:type="dxa"/>
            <w:gridSpan w:val="11"/>
            <w:tcBorders>
              <w:tl2br w:val="nil"/>
              <w:tr2bl w:val="nil"/>
            </w:tcBorders>
            <w:shd w:val="clear" w:color="auto" w:fill="auto"/>
            <w:vAlign w:val="center"/>
          </w:tcPr>
          <w:p>
            <w:pPr>
              <w:widowControl/>
              <w:spacing w:line="380" w:lineRule="exact"/>
              <w:ind w:left="218" w:leftChars="103" w:hanging="2"/>
              <w:rPr>
                <w:rFonts w:ascii="仿宋" w:hAnsi="仿宋" w:eastAsia="仿宋" w:cs="仿宋"/>
                <w:bCs/>
                <w:color w:val="000000"/>
                <w:sz w:val="28"/>
                <w:szCs w:val="28"/>
              </w:rPr>
            </w:pPr>
            <w:r>
              <w:rPr>
                <w:rFonts w:hint="eastAsia" w:ascii="仿宋" w:hAnsi="仿宋" w:eastAsia="仿宋" w:cs="仿宋"/>
                <w:bCs/>
                <w:color w:val="000000"/>
                <w:kern w:val="0"/>
                <w:sz w:val="28"/>
                <w:szCs w:val="28"/>
              </w:rPr>
              <w:t>A.是，已经通过认证</w:t>
            </w:r>
            <w:r>
              <w:rPr>
                <w:rFonts w:hint="eastAsia" w:ascii="仿宋" w:hAnsi="仿宋" w:eastAsia="仿宋" w:cs="仿宋"/>
                <w:bCs/>
                <w:color w:val="000000"/>
                <w:kern w:val="0"/>
                <w:sz w:val="28"/>
                <w:szCs w:val="28"/>
              </w:rPr>
              <w:br w:type="textWrapping"/>
            </w:r>
            <w:r>
              <w:rPr>
                <w:rFonts w:hint="eastAsia" w:ascii="仿宋" w:hAnsi="仿宋" w:eastAsia="仿宋" w:cs="仿宋"/>
                <w:bCs/>
                <w:color w:val="000000"/>
                <w:kern w:val="0"/>
                <w:sz w:val="28"/>
                <w:szCs w:val="28"/>
              </w:rPr>
              <w:t>B.否，正在推进</w:t>
            </w:r>
            <w:r>
              <w:rPr>
                <w:rFonts w:hint="eastAsia" w:ascii="仿宋" w:hAnsi="仿宋" w:eastAsia="仿宋" w:cs="仿宋"/>
                <w:bCs/>
                <w:color w:val="000000"/>
                <w:kern w:val="0"/>
                <w:sz w:val="28"/>
                <w:szCs w:val="28"/>
              </w:rPr>
              <w:br w:type="textWrapping"/>
            </w:r>
            <w:r>
              <w:rPr>
                <w:rFonts w:hint="eastAsia" w:ascii="仿宋" w:hAnsi="仿宋" w:eastAsia="仿宋" w:cs="仿宋"/>
                <w:bCs/>
                <w:color w:val="000000"/>
                <w:kern w:val="0"/>
                <w:sz w:val="28"/>
                <w:szCs w:val="28"/>
              </w:rPr>
              <w:t>C.否，暂未推进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机构人员</w:t>
            </w:r>
          </w:p>
        </w:tc>
        <w:tc>
          <w:tcPr>
            <w:tcW w:w="4351" w:type="dxa"/>
            <w:gridSpan w:val="1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知识产权管理部门隶属部门名称</w:t>
            </w:r>
          </w:p>
        </w:tc>
        <w:tc>
          <w:tcPr>
            <w:tcW w:w="3303" w:type="dxa"/>
            <w:gridSpan w:val="11"/>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知识产权人员情况</w:t>
            </w:r>
          </w:p>
        </w:tc>
        <w:tc>
          <w:tcPr>
            <w:tcW w:w="2041"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专职人数</w:t>
            </w: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兼职人数</w:t>
            </w: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其中具有代理资格人数</w:t>
            </w:r>
          </w:p>
        </w:tc>
        <w:tc>
          <w:tcPr>
            <w:tcW w:w="2058"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其中律师人数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2041"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2041"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2041"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restart"/>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黑体" w:hAnsi="宋体" w:eastAsia="黑体"/>
                <w:color w:val="000000" w:themeColor="text1"/>
                <w:sz w:val="32"/>
              </w:rPr>
              <w:t>知识产权管理</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规章制度</w:t>
            </w: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知识产权管理制度</w:t>
            </w: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知识产权机构管理制度</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知识产权教育培训制度</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知识产权奖励激励机制</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技术及商业保密管理制度</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竞业禁止制度</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战略规划</w:t>
            </w: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劳动合同中是否有界定职务发明条款</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 xml:space="preserve"> 签订合同时是否有约定知识产权权利归属和保护知识产权的条款</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是否制定了知识产权战略（规划）并纳入整体发展规划</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是否建立了企业职务发明人权益保护和奖励机制</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支撑体系</w:t>
            </w: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是否建立了内部专家评议机制或项目知识产权专员跟踪机制等</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是否借助外部知识产权服务机构进行专利申请以外的专业化服务</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262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近三年核心人员知识产权培训率(核心人员包括企业管理人员、知识产权工作人员和研发人员。培训率为被培训核心人员占核心人员总数的比例。)</w:t>
            </w:r>
          </w:p>
        </w:tc>
        <w:tc>
          <w:tcPr>
            <w:tcW w:w="2463"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restart"/>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黑体" w:hAnsi="黑体" w:eastAsia="黑体" w:cs="黑体"/>
                <w:bCs/>
                <w:color w:val="000000"/>
                <w:sz w:val="28"/>
                <w:szCs w:val="28"/>
              </w:rPr>
              <w:t>奖励及加分项</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重要成果</w:t>
            </w: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是否承担国家重大科技专项</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restart"/>
            <w:tcBorders>
              <w:tl2br w:val="nil"/>
              <w:tr2bl w:val="nil"/>
            </w:tcBorders>
            <w:shd w:val="clear" w:color="auto" w:fill="auto"/>
            <w:vAlign w:val="center"/>
          </w:tcPr>
          <w:p>
            <w:pPr>
              <w:widowControl/>
              <w:spacing w:line="420" w:lineRule="exact"/>
              <w:jc w:val="left"/>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获得国家级专利奖情况(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中国专利金奖（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中国专利优秀奖（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中国商标金奖（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世界知识产权组织版权金奖（中国）（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国家技术发明奖（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省级知识产权奖励是指省级政府设立的知识产权奖励，不含省级政府下属部门或单位颁发的奖项。省级政府奖励（ ）项，广东省知识产权示范企业（ ）项，广东省专利优秀奖（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restart"/>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积极主导或参与标准制定</w:t>
            </w: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国家标准（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行业标准（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国际标准（ ）项</w:t>
            </w:r>
          </w:p>
        </w:tc>
      </w:tr>
    </w:tbl>
    <w:p>
      <w:pPr>
        <w:spacing w:afterLines="50"/>
        <w:rPr>
          <w:rFonts w:ascii="方正小标宋_GBK" w:hAnsi="方正小标宋_GBK" w:eastAsia="方正小标宋_GBK" w:cs="方正小标宋_GBK"/>
          <w:sz w:val="30"/>
          <w:szCs w:val="30"/>
        </w:rPr>
      </w:pPr>
    </w:p>
    <w:sectPr>
      <w:footerReference r:id="rId3" w:type="default"/>
      <w:pgSz w:w="11906" w:h="16838"/>
      <w:pgMar w:top="1440" w:right="866" w:bottom="1440" w:left="9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m0s0qvQEAAGIDAAAOAAAAAAAAAAEAIAAAAB4BAABkcnMvZTJvRG9jLnhtbFBLBQYAAAAA&#10;BgAGAFkBAABN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4A"/>
    <w:rsid w:val="001324A1"/>
    <w:rsid w:val="0017286D"/>
    <w:rsid w:val="00175A08"/>
    <w:rsid w:val="001A7148"/>
    <w:rsid w:val="001B0FD5"/>
    <w:rsid w:val="001F1C3A"/>
    <w:rsid w:val="00221760"/>
    <w:rsid w:val="002251BB"/>
    <w:rsid w:val="0024748F"/>
    <w:rsid w:val="002A7DA8"/>
    <w:rsid w:val="002E0E34"/>
    <w:rsid w:val="00361A1A"/>
    <w:rsid w:val="00382AAF"/>
    <w:rsid w:val="003D566A"/>
    <w:rsid w:val="00487BD6"/>
    <w:rsid w:val="004D7DFC"/>
    <w:rsid w:val="00576F62"/>
    <w:rsid w:val="005975B3"/>
    <w:rsid w:val="00655C4E"/>
    <w:rsid w:val="00690999"/>
    <w:rsid w:val="006E20A1"/>
    <w:rsid w:val="00753967"/>
    <w:rsid w:val="007F1134"/>
    <w:rsid w:val="0099234A"/>
    <w:rsid w:val="00992468"/>
    <w:rsid w:val="009C4F4C"/>
    <w:rsid w:val="009D01DD"/>
    <w:rsid w:val="00A653D6"/>
    <w:rsid w:val="00A94992"/>
    <w:rsid w:val="00AB3936"/>
    <w:rsid w:val="00AD7B50"/>
    <w:rsid w:val="00BC5D20"/>
    <w:rsid w:val="00C22A47"/>
    <w:rsid w:val="00CF2B83"/>
    <w:rsid w:val="00D0645D"/>
    <w:rsid w:val="00D6271B"/>
    <w:rsid w:val="00DB4E8E"/>
    <w:rsid w:val="00E5247F"/>
    <w:rsid w:val="01A0725D"/>
    <w:rsid w:val="023547E2"/>
    <w:rsid w:val="035C5C15"/>
    <w:rsid w:val="046E15EF"/>
    <w:rsid w:val="04EA68FD"/>
    <w:rsid w:val="053071AE"/>
    <w:rsid w:val="05421AD2"/>
    <w:rsid w:val="05D4430F"/>
    <w:rsid w:val="065D689A"/>
    <w:rsid w:val="080734D7"/>
    <w:rsid w:val="0859372A"/>
    <w:rsid w:val="08C37B86"/>
    <w:rsid w:val="0A786C89"/>
    <w:rsid w:val="0AE305A6"/>
    <w:rsid w:val="0B924FD8"/>
    <w:rsid w:val="0BC07394"/>
    <w:rsid w:val="0C0157B4"/>
    <w:rsid w:val="0D87155C"/>
    <w:rsid w:val="0D8D263E"/>
    <w:rsid w:val="0DDC414B"/>
    <w:rsid w:val="0DF5039A"/>
    <w:rsid w:val="0E5E7DC5"/>
    <w:rsid w:val="0E716B29"/>
    <w:rsid w:val="0E745A09"/>
    <w:rsid w:val="0EF4701B"/>
    <w:rsid w:val="12554D17"/>
    <w:rsid w:val="128E20FA"/>
    <w:rsid w:val="12C61A30"/>
    <w:rsid w:val="13DD0F18"/>
    <w:rsid w:val="1493464D"/>
    <w:rsid w:val="15100533"/>
    <w:rsid w:val="155C248C"/>
    <w:rsid w:val="159B53DA"/>
    <w:rsid w:val="16417C72"/>
    <w:rsid w:val="16432C84"/>
    <w:rsid w:val="170C1813"/>
    <w:rsid w:val="18687293"/>
    <w:rsid w:val="19BC68BD"/>
    <w:rsid w:val="1AEC3B69"/>
    <w:rsid w:val="1AF71CC8"/>
    <w:rsid w:val="1B140426"/>
    <w:rsid w:val="1C0E43FD"/>
    <w:rsid w:val="1CF042D3"/>
    <w:rsid w:val="1D1B2273"/>
    <w:rsid w:val="1D905DA3"/>
    <w:rsid w:val="1DA6393C"/>
    <w:rsid w:val="1F107A47"/>
    <w:rsid w:val="1F2369FB"/>
    <w:rsid w:val="1F3803CA"/>
    <w:rsid w:val="1F9474EF"/>
    <w:rsid w:val="20E44733"/>
    <w:rsid w:val="21071795"/>
    <w:rsid w:val="21BA7A5C"/>
    <w:rsid w:val="22E84E15"/>
    <w:rsid w:val="233F76E0"/>
    <w:rsid w:val="255D02CD"/>
    <w:rsid w:val="2568691B"/>
    <w:rsid w:val="27144822"/>
    <w:rsid w:val="2747242A"/>
    <w:rsid w:val="277E7513"/>
    <w:rsid w:val="27D43B10"/>
    <w:rsid w:val="28937EA7"/>
    <w:rsid w:val="28EA6EE6"/>
    <w:rsid w:val="29B7065B"/>
    <w:rsid w:val="2A220139"/>
    <w:rsid w:val="2C4A1764"/>
    <w:rsid w:val="2EE15B28"/>
    <w:rsid w:val="2FAC5FE6"/>
    <w:rsid w:val="301E5C01"/>
    <w:rsid w:val="30241EB9"/>
    <w:rsid w:val="31151F41"/>
    <w:rsid w:val="311F2935"/>
    <w:rsid w:val="325E7E4A"/>
    <w:rsid w:val="32700190"/>
    <w:rsid w:val="32CC3D50"/>
    <w:rsid w:val="34631745"/>
    <w:rsid w:val="34C479AA"/>
    <w:rsid w:val="34F5581C"/>
    <w:rsid w:val="384E202A"/>
    <w:rsid w:val="39E342FF"/>
    <w:rsid w:val="3A5343EA"/>
    <w:rsid w:val="3A6B4C0B"/>
    <w:rsid w:val="3AB178F7"/>
    <w:rsid w:val="3BE62D5D"/>
    <w:rsid w:val="3C5C5FB3"/>
    <w:rsid w:val="3C901A7F"/>
    <w:rsid w:val="3CC10393"/>
    <w:rsid w:val="3D3025FD"/>
    <w:rsid w:val="3D8E78C7"/>
    <w:rsid w:val="3F0679E3"/>
    <w:rsid w:val="40AA1EE3"/>
    <w:rsid w:val="414A0816"/>
    <w:rsid w:val="414E46A4"/>
    <w:rsid w:val="41AD76D6"/>
    <w:rsid w:val="42A16270"/>
    <w:rsid w:val="44A723B4"/>
    <w:rsid w:val="44C115A9"/>
    <w:rsid w:val="455B7DDC"/>
    <w:rsid w:val="46DE4B6C"/>
    <w:rsid w:val="47D53244"/>
    <w:rsid w:val="48386C48"/>
    <w:rsid w:val="48B673B7"/>
    <w:rsid w:val="48D240A3"/>
    <w:rsid w:val="493C44A9"/>
    <w:rsid w:val="49A06D0E"/>
    <w:rsid w:val="4AA80A1E"/>
    <w:rsid w:val="4B604772"/>
    <w:rsid w:val="4CC2551C"/>
    <w:rsid w:val="4DFE586B"/>
    <w:rsid w:val="513A6E53"/>
    <w:rsid w:val="513F0911"/>
    <w:rsid w:val="52005850"/>
    <w:rsid w:val="53FE079A"/>
    <w:rsid w:val="54823AF3"/>
    <w:rsid w:val="54CE4992"/>
    <w:rsid w:val="54E73605"/>
    <w:rsid w:val="558A0BC3"/>
    <w:rsid w:val="56FD60A9"/>
    <w:rsid w:val="592B39D2"/>
    <w:rsid w:val="59455334"/>
    <w:rsid w:val="597F2B27"/>
    <w:rsid w:val="5AA0693E"/>
    <w:rsid w:val="5AAC5B45"/>
    <w:rsid w:val="5B556795"/>
    <w:rsid w:val="5CBC1987"/>
    <w:rsid w:val="5D795F83"/>
    <w:rsid w:val="5F9D1708"/>
    <w:rsid w:val="6005623C"/>
    <w:rsid w:val="607B4268"/>
    <w:rsid w:val="61C72FAD"/>
    <w:rsid w:val="62067427"/>
    <w:rsid w:val="62524D8E"/>
    <w:rsid w:val="64B87995"/>
    <w:rsid w:val="65F04AF5"/>
    <w:rsid w:val="671F5ED3"/>
    <w:rsid w:val="672F15C2"/>
    <w:rsid w:val="673843B9"/>
    <w:rsid w:val="68F136C3"/>
    <w:rsid w:val="6A407883"/>
    <w:rsid w:val="6A5B1F0E"/>
    <w:rsid w:val="6AC85AE2"/>
    <w:rsid w:val="6B702B95"/>
    <w:rsid w:val="6D914CD9"/>
    <w:rsid w:val="6ECD22AF"/>
    <w:rsid w:val="70BE2D82"/>
    <w:rsid w:val="70FB4819"/>
    <w:rsid w:val="71A076A5"/>
    <w:rsid w:val="72BA6AFD"/>
    <w:rsid w:val="7349326D"/>
    <w:rsid w:val="73517799"/>
    <w:rsid w:val="74771689"/>
    <w:rsid w:val="751753FD"/>
    <w:rsid w:val="7595110C"/>
    <w:rsid w:val="76707B43"/>
    <w:rsid w:val="76855D8D"/>
    <w:rsid w:val="76920872"/>
    <w:rsid w:val="769644A5"/>
    <w:rsid w:val="7711206E"/>
    <w:rsid w:val="796E1A72"/>
    <w:rsid w:val="79E9531B"/>
    <w:rsid w:val="7A1D2E79"/>
    <w:rsid w:val="7AD67307"/>
    <w:rsid w:val="7BB96469"/>
    <w:rsid w:val="7D0C3E7B"/>
    <w:rsid w:val="7DE3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正文文本 (2)"/>
    <w:basedOn w:val="1"/>
    <w:link w:val="12"/>
    <w:unhideWhenUsed/>
    <w:qFormat/>
    <w:uiPriority w:val="99"/>
    <w:pPr>
      <w:shd w:val="clear" w:color="auto" w:fill="FFFFFF"/>
      <w:spacing w:line="240" w:lineRule="atLeast"/>
    </w:pPr>
    <w:rPr>
      <w:rFonts w:hint="eastAsia" w:ascii="微软雅黑" w:hAnsi="微软雅黑" w:eastAsia="微软雅黑"/>
      <w:sz w:val="22"/>
    </w:rPr>
  </w:style>
  <w:style w:type="character" w:customStyle="1" w:styleId="11">
    <w:name w:val="正文文本 (2) + 9 pt"/>
    <w:basedOn w:val="12"/>
    <w:unhideWhenUsed/>
    <w:qFormat/>
    <w:uiPriority w:val="99"/>
    <w:rPr>
      <w:rFonts w:hint="eastAsia"/>
      <w:sz w:val="18"/>
    </w:rPr>
  </w:style>
  <w:style w:type="character" w:customStyle="1" w:styleId="12">
    <w:name w:val="正文文本 (2)_"/>
    <w:basedOn w:val="7"/>
    <w:link w:val="10"/>
    <w:unhideWhenUsed/>
    <w:qFormat/>
    <w:uiPriority w:val="99"/>
    <w:rPr>
      <w:rFonts w:hint="eastAsia" w:ascii="微软雅黑" w:hAnsi="微软雅黑" w:eastAsia="微软雅黑"/>
      <w:sz w:val="22"/>
    </w:rPr>
  </w:style>
  <w:style w:type="character" w:customStyle="1" w:styleId="13">
    <w:name w:val="正文文本 (2) + 8 pt"/>
    <w:basedOn w:val="12"/>
    <w:unhideWhenUsed/>
    <w:qFormat/>
    <w:uiPriority w:val="99"/>
    <w:rPr>
      <w:rFonts w:hint="eastAsia"/>
      <w:i/>
      <w:sz w:val="16"/>
    </w:rPr>
  </w:style>
  <w:style w:type="character" w:customStyle="1" w:styleId="14">
    <w:name w:val="页眉 Char"/>
    <w:basedOn w:val="7"/>
    <w:link w:val="5"/>
    <w:qFormat/>
    <w:uiPriority w:val="0"/>
    <w:rPr>
      <w:rFonts w:asciiTheme="minorHAnsi" w:hAnsiTheme="minorHAnsi" w:eastAsiaTheme="minorEastAsia" w:cstheme="minorBidi"/>
      <w:kern w:val="2"/>
      <w:sz w:val="18"/>
      <w:szCs w:val="18"/>
    </w:rPr>
  </w:style>
  <w:style w:type="character" w:customStyle="1" w:styleId="15">
    <w:name w:val="页脚 Char"/>
    <w:basedOn w:val="7"/>
    <w:link w:val="4"/>
    <w:qFormat/>
    <w:uiPriority w:val="0"/>
    <w:rPr>
      <w:rFonts w:asciiTheme="minorHAnsi" w:hAnsiTheme="minorHAnsi" w:eastAsiaTheme="minorEastAsia" w:cstheme="minorBidi"/>
      <w:kern w:val="2"/>
      <w:sz w:val="18"/>
      <w:szCs w:val="18"/>
    </w:rPr>
  </w:style>
  <w:style w:type="character" w:customStyle="1" w:styleId="16">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1549</Words>
  <Characters>8832</Characters>
  <Lines>73</Lines>
  <Paragraphs>20</Paragraphs>
  <TotalTime>34</TotalTime>
  <ScaleCrop>false</ScaleCrop>
  <LinksUpToDate>false</LinksUpToDate>
  <CharactersWithSpaces>10361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CElLphOne1410334876</cp:lastModifiedBy>
  <cp:lastPrinted>2019-05-20T02:24:00Z</cp:lastPrinted>
  <dcterms:modified xsi:type="dcterms:W3CDTF">2019-05-21T07:42:47Z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