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w w:val="9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w w:val="90"/>
          <w:sz w:val="44"/>
          <w:szCs w:val="44"/>
          <w:lang w:val="en-US" w:eastAsia="zh-CN"/>
        </w:rPr>
        <w:t>新会区“黄金十条”2019年申报兑付奖励计划表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w w:val="90"/>
          <w:sz w:val="21"/>
          <w:szCs w:val="21"/>
          <w:lang w:val="en-US" w:eastAsia="zh-CN"/>
        </w:rPr>
      </w:pPr>
    </w:p>
    <w:tbl>
      <w:tblPr>
        <w:tblStyle w:val="4"/>
        <w:tblW w:w="14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5"/>
        <w:gridCol w:w="1532"/>
        <w:gridCol w:w="4639"/>
        <w:gridCol w:w="2760"/>
        <w:gridCol w:w="2249"/>
        <w:gridCol w:w="2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tblHeader/>
        </w:trPr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  <w:tc>
          <w:tcPr>
            <w:tcW w:w="4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奖励项目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计划奖励金额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江门市澳新食品有限公司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转型升级奖励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1,568,863.6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w w:val="90"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1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xiong_Z</cp:lastModifiedBy>
  <dcterms:modified xsi:type="dcterms:W3CDTF">2019-05-08T06:47:45Z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