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方正小标宋_GBK"/>
          <w:sz w:val="44"/>
          <w:szCs w:val="44"/>
        </w:rPr>
        <w:t>殡葬服务机构收费网络集中公示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</w:pPr>
      <w:r>
        <w:rPr>
          <w:rFonts w:hint="eastAsia" w:ascii="黑体" w:hAnsi="黑体" w:eastAsia="黑体" w:cs="黑体"/>
          <w:sz w:val="28"/>
          <w:szCs w:val="28"/>
        </w:rPr>
        <w:t>收费单位：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新会区</w:t>
      </w:r>
      <w:r>
        <w:rPr>
          <w:rFonts w:hint="eastAsia" w:ascii="黑体" w:hAnsi="黑体" w:eastAsia="黑体" w:cs="黑体"/>
          <w:sz w:val="28"/>
          <w:szCs w:val="28"/>
        </w:rPr>
        <w:t>大泽镇福荫墓园</w:t>
      </w:r>
    </w:p>
    <w:tbl>
      <w:tblPr>
        <w:tblStyle w:val="6"/>
        <w:tblW w:w="142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999"/>
        <w:gridCol w:w="1269"/>
        <w:gridCol w:w="1127"/>
        <w:gridCol w:w="1118"/>
        <w:gridCol w:w="1132"/>
        <w:gridCol w:w="1609"/>
        <w:gridCol w:w="3300"/>
        <w:gridCol w:w="892"/>
        <w:gridCol w:w="1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294" w:type="dxa"/>
            <w:gridSpan w:val="1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5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墓穴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类型/墓碑石类型/收费项目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墓区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位置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标准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计费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单位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收费管理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形式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依据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护墓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管理费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墓穴/墓碑石/收费服务详情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减免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政策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备注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福聚区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4680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福泽区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3680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福康区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3680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福临区1-13位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2880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福临区14-尾位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2180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福安区1-22位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2180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福安区23-尾位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墓穴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福满区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680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元/穴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新价〔2007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26号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60元/年（由群众自愿选择缴交年限，一次缴交不超20年）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单人墓位：占地面积不超过0.5平方米，双人合葬墓位：占地面积不超过0.8平方米，已含建墓工料费、安葬费、刻字费等费用，不含护墓管理费。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3600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新发改函〔2016〕105号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墓碑石长55cm宽10cm高80cm，。已含刻字费等费用。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7100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新发改函〔2016〕105号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10500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新发改函〔2016〕105号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新发改〔2019]167号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18000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新发改〔2019]167号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13900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新发改〔2019]167号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新发改〔2019]167号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9号石碑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8900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元/套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政府指导价 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新发改〔2019]167号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墓碑石长55cm宽10cm高80cm，已含刻字费等费用。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5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二次安葬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1800</w:t>
            </w:r>
          </w:p>
        </w:tc>
        <w:tc>
          <w:tcPr>
            <w:tcW w:w="11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元/次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市场调节价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含清理、起板、拆卸、回填等费用。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白石大香炉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元/个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市场调节价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后土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元/个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市场调节价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后土香炉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元/个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市场调节价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挖埕位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元/个</w:t>
            </w:r>
          </w:p>
        </w:tc>
        <w:tc>
          <w:tcPr>
            <w:tcW w:w="11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市场调节价</w:t>
            </w:r>
          </w:p>
        </w:tc>
        <w:tc>
          <w:tcPr>
            <w:tcW w:w="113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6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55"/>
    <w:rsid w:val="0019339C"/>
    <w:rsid w:val="005F3C55"/>
    <w:rsid w:val="007C6227"/>
    <w:rsid w:val="008F70E7"/>
    <w:rsid w:val="00B64B51"/>
    <w:rsid w:val="00BE352E"/>
    <w:rsid w:val="00FB6755"/>
    <w:rsid w:val="00FF378C"/>
    <w:rsid w:val="0A2A5FC6"/>
    <w:rsid w:val="1FFA5E20"/>
    <w:rsid w:val="2A6C197A"/>
    <w:rsid w:val="2F7367D8"/>
    <w:rsid w:val="31615149"/>
    <w:rsid w:val="32E92850"/>
    <w:rsid w:val="39510C70"/>
    <w:rsid w:val="48D50400"/>
    <w:rsid w:val="49DC46C6"/>
    <w:rsid w:val="4EA058AC"/>
    <w:rsid w:val="5DC06161"/>
    <w:rsid w:val="7F0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148</Words>
  <Characters>844</Characters>
  <Lines>7</Lines>
  <Paragraphs>1</Paragraphs>
  <TotalTime>30</TotalTime>
  <ScaleCrop>false</ScaleCrop>
  <LinksUpToDate>false</LinksUpToDate>
  <CharactersWithSpaces>991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2025-09-15T07:32:00Z</dcterms:created>
  <dc:creator>SCGB-钟岳峰</dc:creator>
  <cp:lastModifiedBy>Eric</cp:lastModifiedBy>
  <cp:lastPrinted>2025-11-03T07:15:47Z</cp:lastPrinted>
  <dcterms:modified xsi:type="dcterms:W3CDTF">2025-11-03T07:26:25Z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F0F297CF80CA4475BDFD3291DBF54C73</vt:lpwstr>
  </property>
</Properties>
</file>