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34" w:leftChars="16"/>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江门市新会</w:t>
      </w:r>
      <w:r>
        <w:rPr>
          <w:rFonts w:hint="eastAsia" w:ascii="方正小标宋简体" w:hAnsi="方正小标宋简体" w:eastAsia="方正小标宋简体" w:cs="方正小标宋简体"/>
          <w:b w:val="0"/>
          <w:bCs w:val="0"/>
          <w:sz w:val="44"/>
          <w:szCs w:val="44"/>
          <w:lang w:val="en-US" w:eastAsia="zh-CN"/>
        </w:rPr>
        <w:t>区农业农村综合服务中心食堂</w:t>
      </w:r>
    </w:p>
    <w:p>
      <w:pPr>
        <w:keepNext w:val="0"/>
        <w:keepLines w:val="0"/>
        <w:pageBreakBefore w:val="0"/>
        <w:kinsoku/>
        <w:wordWrap/>
        <w:overflowPunct/>
        <w:topLinePunct w:val="0"/>
        <w:autoSpaceDE/>
        <w:autoSpaceDN/>
        <w:bidi w:val="0"/>
        <w:adjustRightInd/>
        <w:snapToGrid/>
        <w:spacing w:line="560" w:lineRule="exact"/>
        <w:ind w:left="34" w:leftChars="16"/>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食材配送服务项目采购</w:t>
      </w:r>
      <w:r>
        <w:rPr>
          <w:rFonts w:hint="eastAsia" w:ascii="方正小标宋简体" w:hAnsi="方正小标宋简体" w:eastAsia="方正小标宋简体" w:cs="方正小标宋简体"/>
          <w:b w:val="0"/>
          <w:bCs w:val="0"/>
          <w:sz w:val="44"/>
          <w:szCs w:val="44"/>
          <w:lang w:eastAsia="zh-CN"/>
        </w:rPr>
        <w:t>方案</w:t>
      </w:r>
    </w:p>
    <w:p>
      <w:pPr>
        <w:pStyle w:val="16"/>
        <w:keepNext w:val="0"/>
        <w:keepLines w:val="0"/>
        <w:pageBreakBefore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b w:val="0"/>
          <w:bCs/>
          <w:sz w:val="32"/>
          <w:szCs w:val="32"/>
          <w:lang w:eastAsia="zh-CN"/>
        </w:rPr>
      </w:pPr>
    </w:p>
    <w:p>
      <w:pPr>
        <w:pStyle w:val="1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一、项目概况</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1.项目名称：2025年江门市新会区</w:t>
      </w:r>
      <w:r>
        <w:rPr>
          <w:rFonts w:hint="eastAsia" w:ascii="仿宋_GB2312" w:hAnsi="仿宋_GB2312" w:eastAsia="仿宋_GB2312" w:cs="仿宋_GB2312"/>
          <w:color w:val="000000"/>
          <w:sz w:val="32"/>
          <w:szCs w:val="32"/>
          <w:lang w:eastAsia="zh-CN"/>
        </w:rPr>
        <w:t>农业农村综合服务中心食堂</w:t>
      </w:r>
      <w:r>
        <w:rPr>
          <w:rFonts w:hint="eastAsia" w:ascii="仿宋_GB2312" w:hAnsi="仿宋_GB2312" w:eastAsia="仿宋_GB2312" w:cs="仿宋_GB2312"/>
          <w:color w:val="000000"/>
          <w:sz w:val="32"/>
          <w:szCs w:val="32"/>
        </w:rPr>
        <w:t>食材配送服务项目</w:t>
      </w:r>
    </w:p>
    <w:p>
      <w:pPr>
        <w:pStyle w:val="16"/>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2.采购预算：人民币¥</w:t>
      </w:r>
      <w:r>
        <w:rPr>
          <w:rFonts w:hint="eastAsia" w:ascii="仿宋_GB2312" w:hAnsi="仿宋_GB2312" w:eastAsia="仿宋_GB2312" w:cs="仿宋_GB2312"/>
          <w:color w:val="000000"/>
          <w:sz w:val="32"/>
          <w:szCs w:val="32"/>
          <w:lang w:val="en-US" w:eastAsia="zh-CN"/>
        </w:rPr>
        <w:t>550000</w:t>
      </w:r>
      <w:r>
        <w:rPr>
          <w:rFonts w:hint="eastAsia" w:ascii="仿宋_GB2312" w:hAnsi="仿宋_GB2312" w:eastAsia="仿宋_GB2312" w:cs="仿宋_GB2312"/>
          <w:color w:val="000000"/>
          <w:sz w:val="32"/>
          <w:szCs w:val="32"/>
        </w:rPr>
        <w:t>元（大写：人民币</w:t>
      </w:r>
      <w:r>
        <w:rPr>
          <w:rFonts w:hint="eastAsia" w:ascii="仿宋_GB2312" w:hAnsi="仿宋_GB2312" w:eastAsia="仿宋_GB2312" w:cs="仿宋_GB2312"/>
          <w:color w:val="000000"/>
          <w:sz w:val="32"/>
          <w:szCs w:val="32"/>
          <w:lang w:eastAsia="zh-CN"/>
        </w:rPr>
        <w:t>伍拾伍</w:t>
      </w:r>
      <w:r>
        <w:rPr>
          <w:rFonts w:hint="eastAsia" w:ascii="仿宋_GB2312" w:hAnsi="仿宋_GB2312" w:eastAsia="仿宋_GB2312" w:cs="仿宋_GB2312"/>
          <w:color w:val="000000"/>
          <w:sz w:val="32"/>
          <w:szCs w:val="32"/>
        </w:rPr>
        <w:t>万元整）；采购人根据供应商实际完成的数量进行结算，最终结算总价不超过采购预算金额。</w:t>
      </w:r>
    </w:p>
    <w:p>
      <w:pPr>
        <w:pStyle w:val="16"/>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服务期：从合同签订生效之日起12个月，具体时间以签订合同为准。实行季度考核，若2次或以上考核不合格，采购人可解除与中标供应商本次签订的合约，并由本项目后续合格的中标候选人补入或重新采购招标。</w:t>
      </w:r>
    </w:p>
    <w:p>
      <w:pPr>
        <w:pStyle w:val="16"/>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4.服务范围:江门市新会区</w:t>
      </w:r>
      <w:r>
        <w:rPr>
          <w:rFonts w:hint="eastAsia" w:ascii="仿宋_GB2312" w:hAnsi="仿宋_GB2312" w:eastAsia="仿宋_GB2312" w:cs="仿宋_GB2312"/>
          <w:color w:val="000000"/>
          <w:sz w:val="32"/>
          <w:szCs w:val="32"/>
          <w:lang w:eastAsia="zh-CN"/>
        </w:rPr>
        <w:t>农业农村综合服务中心食堂</w:t>
      </w:r>
      <w:r>
        <w:rPr>
          <w:rFonts w:hint="eastAsia" w:ascii="仿宋_GB2312" w:hAnsi="仿宋_GB2312" w:eastAsia="仿宋_GB2312" w:cs="仿宋_GB2312"/>
          <w:color w:val="000000"/>
          <w:sz w:val="32"/>
          <w:szCs w:val="32"/>
        </w:rPr>
        <w:t>。</w:t>
      </w:r>
    </w:p>
    <w:p>
      <w:pPr>
        <w:pStyle w:val="16"/>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5.采购单位：江门市新会区</w:t>
      </w:r>
      <w:r>
        <w:rPr>
          <w:rFonts w:hint="eastAsia" w:ascii="仿宋_GB2312" w:hAnsi="仿宋_GB2312" w:eastAsia="仿宋_GB2312" w:cs="仿宋_GB2312"/>
          <w:color w:val="000000"/>
          <w:sz w:val="32"/>
          <w:szCs w:val="32"/>
          <w:lang w:eastAsia="zh-CN"/>
        </w:rPr>
        <w:t>农业农村综合服务中心</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二、选取方式</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本次采购采用</w:t>
      </w:r>
      <w:r>
        <w:rPr>
          <w:rFonts w:hint="eastAsia" w:ascii="仿宋_GB2312" w:hAnsi="仿宋_GB2312" w:eastAsia="仿宋_GB2312" w:cs="仿宋_GB2312"/>
          <w:color w:val="000000"/>
          <w:sz w:val="32"/>
          <w:szCs w:val="32"/>
          <w:lang w:eastAsia="zh-CN"/>
        </w:rPr>
        <w:t>评分</w:t>
      </w:r>
      <w:r>
        <w:rPr>
          <w:rFonts w:hint="eastAsia" w:ascii="仿宋_GB2312" w:hAnsi="仿宋_GB2312" w:eastAsia="仿宋_GB2312" w:cs="仿宋_GB2312"/>
          <w:color w:val="000000"/>
          <w:sz w:val="32"/>
          <w:szCs w:val="32"/>
        </w:rPr>
        <w:t>综合选取的方式确定中选单位。评选小组先对报名单位进行初步评审；然后对满足初步评审要求的单位，按照详细评审规定的评分标准进行打分。</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评选小组成员对报名单位的详细评审中各评审因素进行评分，计算出各评审因素的算术平均值后合计总和作为该单位的得分，并按得分由高到低顺序推荐中选单位。</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综合评分相等时，评选小组视报名单位的情况综合比较，投票确定其名次。</w:t>
      </w:r>
    </w:p>
    <w:p>
      <w:pPr>
        <w:keepNext w:val="0"/>
        <w:keepLines w:val="0"/>
        <w:pageBreakBefore w:val="0"/>
        <w:numPr>
          <w:ilvl w:val="0"/>
          <w:numId w:val="0"/>
        </w:numPr>
        <w:kinsoku/>
        <w:wordWrap/>
        <w:overflowPunct/>
        <w:topLinePunct w:val="0"/>
        <w:autoSpaceDE/>
        <w:autoSpaceDN/>
        <w:bidi w:val="0"/>
        <w:adjustRightInd/>
        <w:snapToGrid/>
        <w:spacing w:line="560" w:lineRule="exact"/>
        <w:ind w:left="220" w:leftChars="0" w:right="-313" w:rightChars="-149"/>
        <w:textAlignment w:val="auto"/>
        <w:rPr>
          <w:rFonts w:hint="eastAsia"/>
        </w:rPr>
      </w:pPr>
      <w:r>
        <w:rPr>
          <w:rFonts w:hint="eastAsia" w:ascii="黑体" w:hAnsi="黑体" w:eastAsia="黑体" w:cs="黑体"/>
          <w:b w:val="0"/>
          <w:bCs w:val="0"/>
          <w:sz w:val="32"/>
          <w:szCs w:val="32"/>
          <w:lang w:val="en-US" w:eastAsia="zh-CN"/>
        </w:rPr>
        <w:t xml:space="preserve"> 三、</w:t>
      </w:r>
      <w:r>
        <w:rPr>
          <w:rFonts w:hint="eastAsia" w:ascii="黑体" w:hAnsi="黑体" w:eastAsia="黑体" w:cs="黑体"/>
          <w:b w:val="0"/>
          <w:bCs w:val="0"/>
          <w:sz w:val="32"/>
          <w:szCs w:val="32"/>
        </w:rPr>
        <w:t>初步审查</w:t>
      </w:r>
    </w:p>
    <w:p>
      <w:pPr>
        <w:pStyle w:val="2"/>
        <w:numPr>
          <w:ilvl w:val="0"/>
          <w:numId w:val="0"/>
        </w:numPr>
        <w:rPr>
          <w:rFonts w:hint="eastAsia"/>
        </w:rPr>
      </w:pPr>
    </w:p>
    <w:tbl>
      <w:tblPr>
        <w:tblStyle w:val="8"/>
        <w:tblW w:w="8746" w:type="dxa"/>
        <w:jc w:val="center"/>
        <w:tblLayout w:type="fixed"/>
        <w:tblCellMar>
          <w:top w:w="0" w:type="dxa"/>
          <w:left w:w="108" w:type="dxa"/>
          <w:bottom w:w="67" w:type="dxa"/>
          <w:right w:w="0" w:type="dxa"/>
        </w:tblCellMar>
      </w:tblPr>
      <w:tblGrid>
        <w:gridCol w:w="1987"/>
        <w:gridCol w:w="6759"/>
      </w:tblGrid>
      <w:tr>
        <w:tblPrEx>
          <w:tblCellMar>
            <w:top w:w="0" w:type="dxa"/>
            <w:left w:w="108" w:type="dxa"/>
            <w:bottom w:w="67" w:type="dxa"/>
            <w:right w:w="0" w:type="dxa"/>
          </w:tblCellMar>
        </w:tblPrEx>
        <w:trPr>
          <w:trHeight w:val="698" w:hRule="atLeast"/>
          <w:tblHeader/>
          <w:jc w:val="center"/>
        </w:trPr>
        <w:tc>
          <w:tcPr>
            <w:tcW w:w="19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审查项目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审查标准</w:t>
            </w:r>
          </w:p>
        </w:tc>
      </w:tr>
      <w:tr>
        <w:tblPrEx>
          <w:tblCellMar>
            <w:top w:w="0" w:type="dxa"/>
            <w:left w:w="108" w:type="dxa"/>
            <w:bottom w:w="67" w:type="dxa"/>
            <w:right w:w="0" w:type="dxa"/>
          </w:tblCellMar>
        </w:tblPrEx>
        <w:trPr>
          <w:trHeight w:val="4385" w:hRule="atLeast"/>
          <w:jc w:val="center"/>
        </w:trPr>
        <w:tc>
          <w:tcPr>
            <w:tcW w:w="1987" w:type="dxa"/>
            <w:tcBorders>
              <w:top w:val="single" w:color="000000" w:sz="4" w:space="0"/>
              <w:left w:val="single" w:color="000000" w:sz="4" w:space="0"/>
              <w:bottom w:val="single" w:color="000000" w:sz="4" w:space="0"/>
              <w:right w:val="single" w:color="000000" w:sz="4" w:space="0"/>
            </w:tcBorders>
            <w:vAlign w:val="center"/>
          </w:tcPr>
          <w:p>
            <w:pPr>
              <w:pStyle w:val="7"/>
              <w:shd w:val="clear" w:color="auto" w:fill="FFFFFF"/>
              <w:spacing w:before="0" w:beforeAutospacing="0" w:after="0" w:afterAutospacing="0" w:line="720" w:lineRule="atLeast"/>
              <w:jc w:val="center"/>
              <w:textAlignment w:val="baseline"/>
              <w:rPr>
                <w:rFonts w:hint="eastAsia" w:ascii="仿宋_GB2312" w:hAnsi="仿宋_GB2312" w:eastAsia="仿宋_GB2312" w:cs="仿宋_GB2312"/>
                <w:color w:val="000000"/>
              </w:rPr>
            </w:pPr>
            <w:r>
              <w:rPr>
                <w:rStyle w:val="10"/>
                <w:rFonts w:hint="eastAsia" w:ascii="仿宋_GB2312" w:hAnsi="仿宋_GB2312" w:eastAsia="仿宋_GB2312" w:cs="仿宋_GB2312"/>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1.符合《中华人民共和国政府采购法》第二十二条和《中华人民共和国政府采购法实施条例》第十七条的规定；</w:t>
            </w:r>
          </w:p>
          <w:p>
            <w:pPr>
              <w:widowControl/>
              <w:spacing w:line="360" w:lineRule="exact"/>
              <w:ind w:right="108"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2.有经年检合格的营业执照和有效的食品经营许可；</w:t>
            </w:r>
          </w:p>
          <w:p>
            <w:pPr>
              <w:widowControl/>
              <w:spacing w:line="360" w:lineRule="exact"/>
              <w:ind w:right="108"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3.具有独立承担民事责任能力的在中华人民共和国境内注册的法人</w:t>
            </w:r>
            <w:r>
              <w:rPr>
                <w:rFonts w:hint="eastAsia" w:ascii="仿宋_GB2312" w:hAnsi="仿宋_GB2312" w:eastAsia="仿宋_GB2312" w:cs="仿宋_GB2312"/>
                <w:color w:val="auto"/>
                <w:kern w:val="0"/>
                <w:sz w:val="24"/>
                <w:szCs w:val="24"/>
              </w:rPr>
              <w:t>或其他组织；</w:t>
            </w:r>
          </w:p>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4.近三年内未被列入失信被执行人名单、重大税收违法案件当事人名单、政府采购严重违法失信行为记录名单，无受到政府采购行政处罚且相关信用惩戒期限未满情形；</w:t>
            </w:r>
          </w:p>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5.本项目不接受联合体供应商投标；不允许转包、分包。</w:t>
            </w:r>
          </w:p>
        </w:tc>
      </w:tr>
    </w:tbl>
    <w:p>
      <w:pPr>
        <w:numPr>
          <w:ilvl w:val="0"/>
          <w:numId w:val="0"/>
        </w:numPr>
        <w:spacing w:line="400" w:lineRule="exact"/>
        <w:ind w:left="220" w:leftChars="0" w:right="-313" w:rightChars="-149"/>
        <w:rPr>
          <w:rFonts w:hint="eastAsia" w:ascii="黑体" w:hAnsi="黑体" w:eastAsia="黑体" w:cs="黑体"/>
          <w:sz w:val="32"/>
          <w:szCs w:val="32"/>
          <w:lang w:eastAsia="zh-CN"/>
        </w:rPr>
      </w:pPr>
    </w:p>
    <w:p>
      <w:pPr>
        <w:numPr>
          <w:ilvl w:val="0"/>
          <w:numId w:val="0"/>
        </w:numPr>
        <w:spacing w:line="400" w:lineRule="exact"/>
        <w:ind w:left="220" w:leftChars="0" w:right="-313" w:rightChars="-149"/>
        <w:rPr>
          <w:rFonts w:hint="eastAsia"/>
          <w:lang w:eastAsia="zh-CN"/>
        </w:rPr>
      </w:pPr>
      <w:r>
        <w:rPr>
          <w:rFonts w:hint="eastAsia" w:ascii="黑体" w:hAnsi="黑体" w:eastAsia="黑体" w:cs="黑体"/>
          <w:sz w:val="32"/>
          <w:szCs w:val="32"/>
          <w:lang w:eastAsia="zh-CN"/>
        </w:rPr>
        <w:t>四、详细评审</w:t>
      </w:r>
    </w:p>
    <w:tbl>
      <w:tblPr>
        <w:tblStyle w:val="8"/>
        <w:tblW w:w="10026" w:type="dxa"/>
        <w:jc w:val="center"/>
        <w:tblLayout w:type="fixed"/>
        <w:tblCellMar>
          <w:top w:w="0" w:type="dxa"/>
          <w:left w:w="108" w:type="dxa"/>
          <w:bottom w:w="67" w:type="dxa"/>
          <w:right w:w="0" w:type="dxa"/>
        </w:tblCellMar>
      </w:tblPr>
      <w:tblGrid>
        <w:gridCol w:w="655"/>
        <w:gridCol w:w="1797"/>
        <w:gridCol w:w="6134"/>
        <w:gridCol w:w="1440"/>
      </w:tblGrid>
      <w:tr>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评价项目</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评价标准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单项分数（分）</w:t>
            </w:r>
          </w:p>
        </w:tc>
      </w:tr>
      <w:tr>
        <w:tblPrEx>
          <w:tblCellMar>
            <w:top w:w="0" w:type="dxa"/>
            <w:left w:w="108" w:type="dxa"/>
            <w:bottom w:w="67" w:type="dxa"/>
            <w:right w:w="0" w:type="dxa"/>
          </w:tblCellMar>
        </w:tblPrEx>
        <w:trPr>
          <w:trHeight w:val="268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10"/>
                <w:rFonts w:hint="eastAsia" w:ascii="仿宋_GB2312" w:hAnsi="仿宋_GB2312" w:eastAsia="仿宋_GB2312" w:cs="仿宋_GB2312"/>
                <w:szCs w:val="30"/>
              </w:rPr>
            </w:pPr>
            <w:r>
              <w:rPr>
                <w:rStyle w:val="10"/>
                <w:rFonts w:hint="eastAsia" w:ascii="仿宋_GB2312" w:hAnsi="仿宋_GB2312" w:eastAsia="仿宋_GB2312" w:cs="仿宋_GB2312"/>
                <w:sz w:val="24"/>
                <w:szCs w:val="24"/>
              </w:rPr>
              <w:t>实施方案</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实施方案全面、完善、合理，可行性和可操作性强，贴合实际需求的，具有完备的安全追溯制度，</w:t>
            </w:r>
            <w:r>
              <w:rPr>
                <w:rFonts w:hint="eastAsia" w:ascii="仿宋_GB2312" w:hAnsi="仿宋_GB2312" w:eastAsia="仿宋_GB2312" w:cs="仿宋_GB2312"/>
                <w:color w:val="auto"/>
                <w:kern w:val="0"/>
                <w:sz w:val="24"/>
                <w:szCs w:val="24"/>
                <w:lang w:val="en-US" w:eastAsia="zh-CN"/>
              </w:rPr>
              <w:t>35</w:t>
            </w:r>
            <w:r>
              <w:rPr>
                <w:rFonts w:hint="eastAsia" w:ascii="仿宋_GB2312" w:hAnsi="仿宋_GB2312" w:eastAsia="仿宋_GB2312" w:cs="仿宋_GB2312"/>
                <w:color w:val="auto"/>
                <w:kern w:val="0"/>
                <w:sz w:val="24"/>
                <w:szCs w:val="24"/>
              </w:rPr>
              <w:t>&lt;得分≤40；实施方案较全面、完善，可行性和可操作性较强，具有可行的安全追溯制度，</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5&lt;得分≤</w:t>
            </w:r>
            <w:r>
              <w:rPr>
                <w:rFonts w:hint="eastAsia" w:ascii="仿宋_GB2312" w:hAnsi="仿宋_GB2312" w:eastAsia="仿宋_GB2312" w:cs="仿宋_GB2312"/>
                <w:color w:val="auto"/>
                <w:kern w:val="0"/>
                <w:sz w:val="24"/>
                <w:szCs w:val="24"/>
                <w:lang w:val="en-US" w:eastAsia="zh-CN"/>
              </w:rPr>
              <w:t>34</w:t>
            </w:r>
            <w:r>
              <w:rPr>
                <w:rFonts w:hint="eastAsia" w:ascii="仿宋_GB2312" w:hAnsi="仿宋_GB2312" w:eastAsia="仿宋_GB2312" w:cs="仿宋_GB2312"/>
                <w:color w:val="auto"/>
                <w:kern w:val="0"/>
                <w:sz w:val="24"/>
                <w:szCs w:val="24"/>
              </w:rPr>
              <w:t>；实施方案较全面，可行性和可操作性</w:t>
            </w:r>
            <w:r>
              <w:rPr>
                <w:rFonts w:hint="eastAsia" w:ascii="仿宋_GB2312" w:hAnsi="仿宋_GB2312" w:eastAsia="仿宋_GB2312" w:cs="仿宋_GB2312"/>
                <w:color w:val="auto"/>
                <w:kern w:val="0"/>
                <w:sz w:val="24"/>
                <w:szCs w:val="24"/>
                <w:lang w:val="en-US" w:eastAsia="zh-CN"/>
              </w:rPr>
              <w:t>基本可行</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15</w:t>
            </w:r>
            <w:r>
              <w:rPr>
                <w:rFonts w:hint="eastAsia" w:ascii="仿宋_GB2312" w:hAnsi="仿宋_GB2312" w:eastAsia="仿宋_GB2312" w:cs="仿宋_GB2312"/>
                <w:color w:val="auto"/>
                <w:kern w:val="0"/>
                <w:sz w:val="24"/>
                <w:szCs w:val="24"/>
              </w:rPr>
              <w:t>&lt;得分≤</w:t>
            </w:r>
            <w:r>
              <w:rPr>
                <w:rFonts w:hint="eastAsia" w:ascii="仿宋_GB2312" w:hAnsi="仿宋_GB2312" w:eastAsia="仿宋_GB2312" w:cs="仿宋_GB2312"/>
                <w:color w:val="auto"/>
                <w:kern w:val="0"/>
                <w:sz w:val="24"/>
                <w:szCs w:val="24"/>
                <w:lang w:val="en-US" w:eastAsia="zh-CN"/>
              </w:rPr>
              <w:t>24；</w:t>
            </w:r>
            <w:r>
              <w:rPr>
                <w:rFonts w:hint="eastAsia" w:ascii="仿宋_GB2312" w:hAnsi="仿宋_GB2312" w:eastAsia="仿宋_GB2312" w:cs="仿宋_GB2312"/>
                <w:color w:val="auto"/>
                <w:kern w:val="0"/>
                <w:sz w:val="24"/>
                <w:szCs w:val="24"/>
              </w:rPr>
              <w:t>实施方案较全面不够合理，可行性和可操作性一般，0&lt;得分≤15。</w:t>
            </w:r>
          </w:p>
          <w:p>
            <w:pPr>
              <w:widowControl/>
              <w:spacing w:line="360" w:lineRule="exact"/>
              <w:ind w:right="108" w:firstLine="470" w:firstLineChars="196"/>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注：供应商需提供含服务承诺、应急预案、质量控制措施的实施方案，不提供相关资料不得分。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40</w:t>
            </w:r>
          </w:p>
        </w:tc>
      </w:tr>
      <w:tr>
        <w:tblPrEx>
          <w:tblCellMar>
            <w:top w:w="0" w:type="dxa"/>
            <w:left w:w="108" w:type="dxa"/>
            <w:bottom w:w="67" w:type="dxa"/>
            <w:right w:w="0" w:type="dxa"/>
          </w:tblCellMar>
        </w:tblPrEx>
        <w:trPr>
          <w:trHeight w:val="2253"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_GB2312" w:hAnsi="仿宋_GB2312" w:eastAsia="仿宋_GB2312" w:cs="仿宋_GB2312"/>
                <w:color w:val="000000"/>
                <w:kern w:val="0"/>
                <w:sz w:val="24"/>
                <w:szCs w:val="24"/>
              </w:rPr>
            </w:pPr>
            <w:r>
              <w:rPr>
                <w:rStyle w:val="10"/>
                <w:rFonts w:hint="eastAsia" w:ascii="仿宋_GB2312" w:hAnsi="仿宋_GB2312" w:eastAsia="仿宋_GB2312" w:cs="仿宋_GB2312"/>
                <w:sz w:val="24"/>
                <w:szCs w:val="24"/>
              </w:rPr>
              <w:t>经营业绩</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根据报名单位提供的承接过同类食材配送项目业绩证明评分，</w:t>
            </w:r>
            <w:r>
              <w:rPr>
                <w:rFonts w:hint="eastAsia" w:ascii="仿宋_GB2312" w:hAnsi="仿宋_GB2312" w:eastAsia="仿宋_GB2312" w:cs="仿宋_GB2312"/>
                <w:color w:val="auto"/>
                <w:kern w:val="0"/>
                <w:sz w:val="24"/>
                <w:szCs w:val="24"/>
                <w:lang w:val="en-US" w:eastAsia="zh-CN"/>
              </w:rPr>
              <w:t>同类项目业绩最多计算3项，总分不超过10分</w:t>
            </w:r>
            <w:r>
              <w:rPr>
                <w:rFonts w:hint="eastAsia" w:ascii="仿宋_GB2312" w:hAnsi="仿宋_GB2312" w:eastAsia="仿宋_GB2312" w:cs="仿宋_GB2312"/>
                <w:color w:val="auto"/>
                <w:kern w:val="0"/>
                <w:sz w:val="24"/>
                <w:szCs w:val="24"/>
              </w:rPr>
              <w:t>。</w:t>
            </w:r>
          </w:p>
          <w:p>
            <w:pPr>
              <w:widowControl/>
              <w:spacing w:line="360" w:lineRule="exact"/>
              <w:ind w:right="108" w:firstLine="470" w:firstLineChars="196"/>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如提供的业绩证明无合同金额，每项得1分；</w:t>
            </w:r>
          </w:p>
          <w:p>
            <w:pPr>
              <w:widowControl/>
              <w:spacing w:line="360" w:lineRule="exact"/>
              <w:ind w:right="108"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合同金额&lt;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万，每项得</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w:t>
            </w:r>
          </w:p>
          <w:p>
            <w:pPr>
              <w:widowControl/>
              <w:spacing w:line="360" w:lineRule="exact"/>
              <w:ind w:right="108" w:firstLine="470" w:firstLineChars="196"/>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万≤合同金额，每项得</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w:t>
            </w:r>
          </w:p>
          <w:p>
            <w:pPr>
              <w:widowControl/>
              <w:spacing w:line="360" w:lineRule="exact"/>
              <w:ind w:right="108" w:firstLine="470" w:firstLineChars="196"/>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不提供相关证明该项评分项目不得分。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r>
      <w:tr>
        <w:tblPrEx>
          <w:tblCellMar>
            <w:top w:w="0" w:type="dxa"/>
            <w:left w:w="108" w:type="dxa"/>
            <w:bottom w:w="67" w:type="dxa"/>
            <w:right w:w="0" w:type="dxa"/>
          </w:tblCellMar>
        </w:tblPrEx>
        <w:trPr>
          <w:trHeight w:val="2185"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10"/>
                <w:rFonts w:hint="eastAsia" w:ascii="仿宋_GB2312" w:hAnsi="仿宋_GB2312" w:eastAsia="仿宋_GB2312" w:cs="仿宋_GB2312"/>
                <w:sz w:val="24"/>
                <w:szCs w:val="24"/>
              </w:rPr>
            </w:pPr>
            <w:r>
              <w:rPr>
                <w:rStyle w:val="10"/>
                <w:rFonts w:hint="eastAsia" w:ascii="仿宋_GB2312" w:hAnsi="仿宋_GB2312" w:eastAsia="仿宋_GB2312" w:cs="仿宋_GB2312"/>
                <w:sz w:val="24"/>
                <w:szCs w:val="24"/>
              </w:rPr>
              <w:t>配送运输</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供应商投入配送车辆，每1辆车得1分，最高得3分， 配送车辆中含有冷藏车的，每1辆得2分，最高得2分。</w:t>
            </w:r>
          </w:p>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注：供应商需提供配送车辆的车辆行驶证复印件及车辆照片（如为租赁车辆须提供租赁合同关键页复印件），不提供相关材料不得分。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r>
      <w:tr>
        <w:tblPrEx>
          <w:tblCellMar>
            <w:top w:w="0" w:type="dxa"/>
            <w:left w:w="108" w:type="dxa"/>
            <w:bottom w:w="67" w:type="dxa"/>
            <w:right w:w="0" w:type="dxa"/>
          </w:tblCellMar>
        </w:tblPrEx>
        <w:trPr>
          <w:trHeight w:val="449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10"/>
                <w:rFonts w:hint="eastAsia" w:ascii="仿宋_GB2312" w:hAnsi="仿宋_GB2312" w:eastAsia="仿宋_GB2312" w:cs="仿宋_GB2312"/>
                <w:sz w:val="24"/>
                <w:szCs w:val="24"/>
              </w:rPr>
            </w:pPr>
            <w:r>
              <w:rPr>
                <w:rStyle w:val="10"/>
                <w:rFonts w:hint="eastAsia" w:ascii="仿宋_GB2312" w:hAnsi="仿宋_GB2312" w:eastAsia="仿宋_GB2312" w:cs="仿宋_GB2312"/>
                <w:sz w:val="24"/>
                <w:szCs w:val="24"/>
              </w:rPr>
              <w:t>食材来源</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1.供应商承诺建立配送采购人食材的追踪溯源体系及专门台账档案，得 5分。（供应商提供承诺函加盖公章，不提供承诺函不得分。）</w:t>
            </w:r>
          </w:p>
          <w:p>
            <w:pPr>
              <w:widowControl/>
              <w:spacing w:line="360" w:lineRule="exact"/>
              <w:ind w:right="108" w:firstLine="470" w:firstLineChars="196"/>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2.供应商与农贸市场或规模化生产基地有稳定合作关系的，得</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分。(供应商提供与农贸市场或规模化生产基地的合作协议或者合同复印件</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采购凭证加盖投标人公章，不提供不得分。)</w:t>
            </w:r>
          </w:p>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3.供应商自有或租赁原材料生产基地的，如蔬菜、肉类、粮食、水果、水产品、副食品等，每提供 1项得1 分，满分5分。(提供自有基地相关的产权证明复印件加盖投标人公章，如租赁原材料基地的提供租赁合同复印件加盖公章，否则不得分。)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w:t>
            </w:r>
          </w:p>
        </w:tc>
      </w:tr>
      <w:tr>
        <w:tblPrEx>
          <w:tblCellMar>
            <w:top w:w="0" w:type="dxa"/>
            <w:left w:w="108" w:type="dxa"/>
            <w:bottom w:w="67" w:type="dxa"/>
            <w:right w:w="0" w:type="dxa"/>
          </w:tblCellMar>
        </w:tblPrEx>
        <w:trPr>
          <w:trHeight w:val="204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10"/>
                <w:rFonts w:hint="eastAsia" w:ascii="仿宋_GB2312" w:hAnsi="仿宋_GB2312" w:eastAsia="仿宋_GB2312" w:cs="仿宋_GB2312"/>
                <w:sz w:val="24"/>
                <w:szCs w:val="24"/>
              </w:rPr>
            </w:pPr>
            <w:r>
              <w:rPr>
                <w:rStyle w:val="10"/>
                <w:rFonts w:hint="eastAsia" w:ascii="仿宋_GB2312" w:hAnsi="仿宋_GB2312" w:eastAsia="仿宋_GB2312" w:cs="仿宋_GB2312"/>
                <w:sz w:val="24"/>
                <w:szCs w:val="24"/>
              </w:rPr>
              <w:t>食材安全保障</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1.供应商提供获得政府行政管理部门或有资质的第三方检测机构出具的对主要食材米、粉、面、蔬菜、禽畜生肉、禽蛋、水产品、副食品等的检验合格质检报告，每提供一项原材料报告得3分，最高得分为15分。</w:t>
            </w:r>
          </w:p>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2.供应商对食品安全进行安全责任投保，投保金额不少于500万元的，得5分；投保金额不少于300万元的，得3分；投保金额不少于100万元的，得1分。供应商需提供有效的食品安全责任保险合同，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US" w:eastAsia="zh-CN"/>
              </w:rPr>
              <w:t>0</w:t>
            </w:r>
          </w:p>
        </w:tc>
      </w:tr>
      <w:tr>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6 </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10"/>
                <w:rFonts w:hint="eastAsia" w:ascii="仿宋_GB2312" w:hAnsi="仿宋_GB2312" w:eastAsia="仿宋_GB2312" w:cs="仿宋_GB2312"/>
                <w:sz w:val="24"/>
                <w:szCs w:val="24"/>
              </w:rPr>
            </w:pPr>
            <w:r>
              <w:rPr>
                <w:rStyle w:val="10"/>
                <w:rFonts w:hint="eastAsia" w:ascii="仿宋_GB2312" w:hAnsi="仿宋_GB2312" w:eastAsia="仿宋_GB2312" w:cs="仿宋_GB2312"/>
                <w:sz w:val="24"/>
                <w:szCs w:val="24"/>
              </w:rPr>
              <w:t>食材价格</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以江门市发改局公布的江门市菜篮子价格为基准价格，供应商提供折扣率报价，折扣率为0不得分，折扣率每增加</w:t>
            </w: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%得1分，最高得分</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分。</w:t>
            </w:r>
            <w:bookmarkStart w:id="0" w:name="_GoBack"/>
            <w:bookmarkEnd w:id="0"/>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r>
    </w:tbl>
    <w:p>
      <w:pPr>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E4B69"/>
    <w:rsid w:val="000F72EC"/>
    <w:rsid w:val="0011333C"/>
    <w:rsid w:val="00181B06"/>
    <w:rsid w:val="0022764E"/>
    <w:rsid w:val="00253497"/>
    <w:rsid w:val="002F2FAE"/>
    <w:rsid w:val="00327ABC"/>
    <w:rsid w:val="00440BD1"/>
    <w:rsid w:val="00444802"/>
    <w:rsid w:val="00516F57"/>
    <w:rsid w:val="005677BB"/>
    <w:rsid w:val="005C24A7"/>
    <w:rsid w:val="006B37E9"/>
    <w:rsid w:val="00715E72"/>
    <w:rsid w:val="00760CDA"/>
    <w:rsid w:val="00777AAB"/>
    <w:rsid w:val="007F142F"/>
    <w:rsid w:val="008A40EA"/>
    <w:rsid w:val="009061D4"/>
    <w:rsid w:val="00955CC6"/>
    <w:rsid w:val="00985381"/>
    <w:rsid w:val="00A4016C"/>
    <w:rsid w:val="00A91351"/>
    <w:rsid w:val="00AD3527"/>
    <w:rsid w:val="00BA1A5A"/>
    <w:rsid w:val="00BF2CDA"/>
    <w:rsid w:val="00C7166E"/>
    <w:rsid w:val="00C94002"/>
    <w:rsid w:val="00CC67E8"/>
    <w:rsid w:val="00DD3614"/>
    <w:rsid w:val="00E57E6C"/>
    <w:rsid w:val="00F32136"/>
    <w:rsid w:val="081E1A6A"/>
    <w:rsid w:val="09C4763F"/>
    <w:rsid w:val="0CBA1E3A"/>
    <w:rsid w:val="0E6C5654"/>
    <w:rsid w:val="15F82CFE"/>
    <w:rsid w:val="192F1C53"/>
    <w:rsid w:val="1C412BF2"/>
    <w:rsid w:val="21055BC3"/>
    <w:rsid w:val="31A830A5"/>
    <w:rsid w:val="33AB59E5"/>
    <w:rsid w:val="4377704B"/>
    <w:rsid w:val="4CB70214"/>
    <w:rsid w:val="53044727"/>
    <w:rsid w:val="62D425CD"/>
    <w:rsid w:val="69C22F57"/>
    <w:rsid w:val="719121D5"/>
    <w:rsid w:val="731C41B1"/>
    <w:rsid w:val="749B21CD"/>
    <w:rsid w:val="76451E9E"/>
    <w:rsid w:val="76F8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kern w:val="0"/>
      <w:sz w:val="20"/>
      <w:szCs w:val="20"/>
    </w:r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 w:type="paragraph" w:styleId="11">
    <w:name w:val="List Paragraph"/>
    <w:basedOn w:val="1"/>
    <w:unhideWhenUsed/>
    <w:qFormat/>
    <w:uiPriority w:val="99"/>
    <w:pPr>
      <w:ind w:firstLine="420" w:firstLineChars="200"/>
    </w:p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5">
    <w:name w:val="纯文本 Char"/>
    <w:link w:val="2"/>
    <w:qFormat/>
    <w:uiPriority w:val="0"/>
    <w:rPr>
      <w:rFonts w:ascii="宋体" w:hAnsi="Courier New" w:eastAsiaTheme="minorEastAsia" w:cstheme="minorBidi"/>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2616-391E-4B10-870C-239A9A9B13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1703</Words>
  <Characters>1758</Characters>
  <Lines>10</Lines>
  <Paragraphs>2</Paragraphs>
  <TotalTime>64</TotalTime>
  <ScaleCrop>false</ScaleCrop>
  <LinksUpToDate>false</LinksUpToDate>
  <CharactersWithSpaces>1784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2023-09-14T08:30:00Z</dcterms:created>
  <dc:creator>李耀明</dc:creator>
  <cp:lastModifiedBy>俊</cp:lastModifiedBy>
  <cp:lastPrinted>2024-05-11T01:53:00Z</cp:lastPrinted>
  <dcterms:modified xsi:type="dcterms:W3CDTF">2025-05-21T09:29:33Z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CFF90ECBF98A4CFE99E6093F941BDC33</vt:lpwstr>
  </property>
  <property fmtid="{D5CDD505-2E9C-101B-9397-08002B2CF9AE}" pid="5" name="KSOTemplateDocerSaveRecord">
    <vt:lpwstr>eyJoZGlkIjoiMjZkOGRmNDliNzhiMTkwYmM3Mjg2ZmUwYzJiZjcyODYiLCJ1c2VySWQiOiIzMjg1MjE3MjEifQ==</vt:lpwstr>
  </property>
</Properties>
</file>