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8FE7">
      <w:pPr>
        <w:autoSpaceDE w:val="0"/>
        <w:autoSpaceDN w:val="0"/>
        <w:adjustRightInd w:val="0"/>
        <w:spacing w:line="586" w:lineRule="exact"/>
        <w:jc w:val="center"/>
        <w:rPr>
          <w:rFonts w:hint="eastAsia" w:ascii="方正小标宋简体" w:hAnsi="仿宋_GB2312" w:eastAsia="方正小标宋简体" w:cs="仿宋_GB2312"/>
          <w:kern w:val="34"/>
          <w:sz w:val="44"/>
          <w:szCs w:val="44"/>
        </w:rPr>
      </w:pPr>
      <w:r>
        <w:rPr>
          <w:rFonts w:hint="eastAsia" w:ascii="方正小标宋简体" w:hAnsi="仿宋_GB2312" w:eastAsia="方正小标宋简体" w:cs="仿宋_GB2312"/>
          <w:kern w:val="34"/>
          <w:sz w:val="44"/>
          <w:szCs w:val="44"/>
        </w:rPr>
        <w:t>新会区区级储备粮轮换操作规程</w:t>
      </w:r>
    </w:p>
    <w:p w14:paraId="07828D74">
      <w:pPr>
        <w:autoSpaceDE w:val="0"/>
        <w:autoSpaceDN w:val="0"/>
        <w:adjustRightInd w:val="0"/>
        <w:spacing w:line="586" w:lineRule="exact"/>
        <w:jc w:val="center"/>
        <w:rPr>
          <w:rFonts w:hint="eastAsia" w:ascii="方正小标宋简体" w:hAnsi="仿宋_GB2312" w:eastAsia="方正小标宋简体" w:cs="仿宋_GB2312"/>
          <w:kern w:val="34"/>
          <w:sz w:val="44"/>
          <w:szCs w:val="44"/>
        </w:rPr>
      </w:pPr>
    </w:p>
    <w:p w14:paraId="0A3E9897">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为加强我区储备粮轮换运营水平，</w:t>
      </w:r>
      <w:r>
        <w:rPr>
          <w:rFonts w:hint="eastAsia" w:ascii="仿宋_GB2312" w:hAnsi="黑体" w:eastAsia="仿宋_GB2312"/>
          <w:sz w:val="32"/>
          <w:szCs w:val="32"/>
        </w:rPr>
        <w:t>推动我区储备粮轮换制度化，</w:t>
      </w:r>
      <w:r>
        <w:rPr>
          <w:rFonts w:hint="eastAsia" w:ascii="仿宋_GB2312" w:hAnsi="仿宋" w:eastAsia="仿宋_GB2312"/>
          <w:sz w:val="32"/>
          <w:szCs w:val="32"/>
        </w:rPr>
        <w:t>提升我区</w:t>
      </w:r>
      <w:r>
        <w:rPr>
          <w:rFonts w:hint="eastAsia" w:ascii="仿宋_GB2312" w:eastAsia="仿宋_GB2312"/>
          <w:sz w:val="32"/>
          <w:szCs w:val="32"/>
        </w:rPr>
        <w:t>地方储备粮等政策性粮食轮换操作的</w:t>
      </w:r>
      <w:r>
        <w:rPr>
          <w:rFonts w:hint="eastAsia" w:ascii="仿宋_GB2312" w:hAnsi="黑体" w:eastAsia="仿宋_GB2312"/>
          <w:sz w:val="32"/>
          <w:szCs w:val="32"/>
        </w:rPr>
        <w:t>规范化</w:t>
      </w:r>
      <w:r>
        <w:rPr>
          <w:rFonts w:hint="eastAsia" w:ascii="仿宋_GB2312" w:eastAsia="仿宋_GB2312"/>
          <w:sz w:val="32"/>
          <w:szCs w:val="32"/>
        </w:rPr>
        <w:t>，根据《江门市市级储备粮管理办法》（江府［2023］9号）文件要求，结合我区实际，修订我区区级储备粮轮换的操作规程。</w:t>
      </w:r>
    </w:p>
    <w:p w14:paraId="4282D381">
      <w:pPr>
        <w:autoSpaceDE w:val="0"/>
        <w:autoSpaceDN w:val="0"/>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一、适用范围</w:t>
      </w:r>
    </w:p>
    <w:p w14:paraId="22436127">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承储单位承储的区级静态地方储备原粮。自主轮换的大米、</w:t>
      </w:r>
      <w:r>
        <w:rPr>
          <w:rFonts w:hint="eastAsia" w:ascii="仿宋_GB2312" w:eastAsia="仿宋_GB2312"/>
          <w:color w:val="000000"/>
          <w:sz w:val="32"/>
          <w:szCs w:val="32"/>
        </w:rPr>
        <w:t>食用植物油</w:t>
      </w:r>
      <w:r>
        <w:rPr>
          <w:rFonts w:hint="eastAsia" w:ascii="仿宋_GB2312" w:eastAsia="仿宋_GB2312"/>
          <w:color w:val="auto"/>
          <w:sz w:val="32"/>
          <w:szCs w:val="32"/>
          <w:lang w:eastAsia="zh-CN"/>
        </w:rPr>
        <w:t>可</w:t>
      </w:r>
      <w:r>
        <w:rPr>
          <w:rFonts w:hint="eastAsia" w:ascii="仿宋_GB2312" w:eastAsia="仿宋_GB2312"/>
          <w:color w:val="000000"/>
          <w:sz w:val="32"/>
          <w:szCs w:val="32"/>
        </w:rPr>
        <w:t>参照本规程的第四条执行。</w:t>
      </w:r>
    </w:p>
    <w:p w14:paraId="5BC5869F">
      <w:pPr>
        <w:autoSpaceDE w:val="0"/>
        <w:autoSpaceDN w:val="0"/>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二、定价方式</w:t>
      </w:r>
    </w:p>
    <w:p w14:paraId="2A9D83EA">
      <w:pPr>
        <w:spacing w:line="560" w:lineRule="exact"/>
        <w:ind w:firstLine="640" w:firstLineChars="200"/>
        <w:rPr>
          <w:rFonts w:ascii="仿宋_GB2312" w:eastAsia="仿宋_GB2312"/>
          <w:sz w:val="32"/>
          <w:szCs w:val="32"/>
        </w:rPr>
      </w:pPr>
      <w:r>
        <w:rPr>
          <w:rFonts w:hint="eastAsia" w:ascii="仿宋_GB2312" w:eastAsia="仿宋_GB2312"/>
          <w:sz w:val="32"/>
          <w:szCs w:val="32"/>
        </w:rPr>
        <w:t>由区发展改革（粮食和储备）局和承储企业（新会银湖粮食储备有限公司，下同）参考国家粮食交易中心网近期发布的相同品种和质量粮食的销售或采购平均价格及周边地区粮食价格行情等情况，经区级粮油储备工作联席会议成员单位（以下简称“联席会议”）会商后定下销售（采购）最低（高）限价。在限价范围内，由承储企业根据国家粮食交易中心网的价格行情及本单位组织的市场调查确定每批次储备粮的采购（销售）价，并报区发展改革（粮食和储备）局备</w:t>
      </w:r>
      <w:r>
        <w:rPr>
          <w:rFonts w:hint="eastAsia" w:ascii="仿宋_GB2312" w:eastAsia="仿宋_GB2312"/>
          <w:sz w:val="32"/>
          <w:szCs w:val="32"/>
          <w:lang w:eastAsia="zh-CN"/>
        </w:rPr>
        <w:t>查</w:t>
      </w:r>
      <w:r>
        <w:rPr>
          <w:rFonts w:hint="eastAsia" w:ascii="仿宋_GB2312" w:eastAsia="仿宋_GB2312"/>
          <w:sz w:val="32"/>
          <w:szCs w:val="32"/>
        </w:rPr>
        <w:t>。</w:t>
      </w:r>
    </w:p>
    <w:p w14:paraId="53E35739">
      <w:pPr>
        <w:spacing w:line="560" w:lineRule="exact"/>
        <w:ind w:firstLine="640" w:firstLineChars="200"/>
        <w:rPr>
          <w:rFonts w:ascii="黑体" w:hAnsi="黑体" w:eastAsia="黑体"/>
          <w:sz w:val="32"/>
          <w:szCs w:val="32"/>
        </w:rPr>
      </w:pPr>
      <w:r>
        <w:rPr>
          <w:rFonts w:hint="eastAsia" w:ascii="黑体" w:hAnsi="黑体" w:eastAsia="黑体"/>
          <w:sz w:val="32"/>
          <w:szCs w:val="32"/>
        </w:rPr>
        <w:t>三、质量标准</w:t>
      </w:r>
    </w:p>
    <w:p w14:paraId="1123EB1F">
      <w:pPr>
        <w:spacing w:line="560" w:lineRule="exact"/>
        <w:ind w:firstLine="645"/>
        <w:rPr>
          <w:rFonts w:ascii="仿宋_GB2312" w:eastAsia="仿宋_GB2312"/>
          <w:sz w:val="32"/>
          <w:szCs w:val="32"/>
        </w:rPr>
      </w:pPr>
      <w:r>
        <w:rPr>
          <w:rFonts w:hint="eastAsia" w:ascii="仿宋_GB2312" w:eastAsia="仿宋_GB2312"/>
          <w:sz w:val="32"/>
          <w:szCs w:val="32"/>
        </w:rPr>
        <w:t>招标（定向采购）的入库粮必须符合《政府储备粮食质量安全管理办法》（国粮发规〔2021〕30号）的规定：采购粮源应为最近粮食生产季生产的新粮，各项常规质量指标符合国家标准中等（含）以上质量标准，储备品质指标符合宜存标准，食品安全指标符合食品安全国家标准限量规定。其余指标需符合国家标准GB1350-2009、GB1354-2018、GB2715-2016等要求（如遇国家相关标准调整，将按新标准执行）。</w:t>
      </w:r>
    </w:p>
    <w:p w14:paraId="4EEB3B70">
      <w:pPr>
        <w:spacing w:line="560" w:lineRule="exact"/>
        <w:ind w:firstLine="645"/>
        <w:rPr>
          <w:rFonts w:ascii="黑体" w:hAnsi="黑体" w:eastAsia="黑体"/>
          <w:sz w:val="32"/>
          <w:szCs w:val="32"/>
        </w:rPr>
      </w:pPr>
      <w:r>
        <w:rPr>
          <w:rFonts w:hint="eastAsia" w:ascii="黑体" w:hAnsi="黑体" w:eastAsia="黑体"/>
          <w:sz w:val="32"/>
          <w:szCs w:val="32"/>
        </w:rPr>
        <w:t>四、轮换方式和程序</w:t>
      </w:r>
    </w:p>
    <w:p w14:paraId="050B179D">
      <w:pPr>
        <w:pStyle w:val="18"/>
        <w:spacing w:line="560" w:lineRule="exact"/>
        <w:rPr>
          <w:rFonts w:ascii="黑体" w:hAnsi="黑体" w:eastAsia="黑体"/>
          <w:sz w:val="32"/>
          <w:szCs w:val="32"/>
        </w:rPr>
      </w:pPr>
      <w:r>
        <w:rPr>
          <w:rFonts w:hint="eastAsia" w:ascii="仿宋_GB2312" w:hAnsi="仿宋" w:cs="仿宋"/>
          <w:sz w:val="32"/>
          <w:szCs w:val="32"/>
        </w:rPr>
        <w:t>根据我区储备粮管理费用的“总额包干、超支自补、节余自留”管理办法，</w:t>
      </w:r>
      <w:r>
        <w:rPr>
          <w:rFonts w:hint="eastAsia" w:ascii="仿宋_GB2312"/>
          <w:sz w:val="32"/>
          <w:szCs w:val="32"/>
        </w:rPr>
        <w:t>联席会议确定储备粮轮换的最低（高）限价后，</w:t>
      </w:r>
      <w:r>
        <w:rPr>
          <w:rFonts w:hint="eastAsia" w:ascii="仿宋_GB2312" w:hAnsi="仿宋" w:cs="仿宋"/>
          <w:sz w:val="32"/>
          <w:szCs w:val="32"/>
        </w:rPr>
        <w:t>承储企业在保证储备粮管理费用使用公开、公平、公正和储备粮轮换安全，由</w:t>
      </w:r>
      <w:r>
        <w:rPr>
          <w:rFonts w:hint="eastAsia" w:ascii="仿宋_GB2312"/>
          <w:sz w:val="32"/>
          <w:szCs w:val="32"/>
        </w:rPr>
        <w:t>承储企业根据市场行情，并确保粮食的质量符合国家标准，在限价范围内由承储企业权衡，</w:t>
      </w:r>
      <w:r>
        <w:rPr>
          <w:rFonts w:hint="eastAsia" w:ascii="仿宋_GB2312" w:hAnsi="仿宋_GB2312" w:cs="仿宋_GB2312"/>
          <w:color w:val="auto"/>
          <w:kern w:val="2"/>
          <w:sz w:val="32"/>
          <w:szCs w:val="32"/>
        </w:rPr>
        <w:t>通过规范的粮食交易批发市场及相关网上交易平台采用公开竞价交易方式进行，也可以采取直接收购（采购）、邀标竞价销售等方式进行，并全程留痕备查，保存相关资料、凭证不少于6年。</w:t>
      </w:r>
    </w:p>
    <w:p w14:paraId="0DCD4329">
      <w:pPr>
        <w:autoSpaceDE w:val="0"/>
        <w:autoSpaceDN w:val="0"/>
        <w:adjustRightInd w:val="0"/>
        <w:spacing w:line="560" w:lineRule="exact"/>
        <w:ind w:firstLine="643"/>
        <w:rPr>
          <w:rFonts w:ascii="楷体" w:hAnsi="楷体" w:eastAsia="楷体"/>
          <w:b/>
          <w:sz w:val="32"/>
          <w:szCs w:val="32"/>
        </w:rPr>
      </w:pPr>
      <w:r>
        <w:rPr>
          <w:rFonts w:hint="eastAsia" w:ascii="楷体" w:hAnsi="楷体" w:eastAsia="楷体"/>
          <w:b/>
          <w:sz w:val="32"/>
          <w:szCs w:val="32"/>
        </w:rPr>
        <w:t>（一）招标方式</w:t>
      </w:r>
    </w:p>
    <w:p w14:paraId="3FAA3C38">
      <w:pPr>
        <w:spacing w:line="560" w:lineRule="exact"/>
        <w:ind w:firstLine="643" w:firstLineChars="200"/>
        <w:rPr>
          <w:rFonts w:ascii="仿宋_GB2312" w:eastAsia="仿宋_GB2312"/>
          <w:sz w:val="32"/>
          <w:szCs w:val="32"/>
        </w:rPr>
      </w:pPr>
      <w:r>
        <w:rPr>
          <w:rFonts w:hint="eastAsia" w:ascii="仿宋_GB2312" w:eastAsia="仿宋_GB2312"/>
          <w:b/>
          <w:sz w:val="32"/>
          <w:szCs w:val="32"/>
        </w:rPr>
        <w:t>1.平台选择。</w:t>
      </w:r>
      <w:r>
        <w:rPr>
          <w:rFonts w:hint="eastAsia" w:ascii="仿宋_GB2312" w:eastAsia="仿宋_GB2312"/>
          <w:bCs/>
          <w:sz w:val="32"/>
          <w:szCs w:val="32"/>
        </w:rPr>
        <w:t>在平台选择时，应充分考虑权威性、覆盖范围、技术支持和服务质量以及费用成本等因素</w:t>
      </w:r>
      <w:r>
        <w:rPr>
          <w:rFonts w:hint="eastAsia" w:ascii="仿宋_GB2312" w:eastAsia="仿宋_GB2312"/>
          <w:bCs/>
          <w:sz w:val="32"/>
          <w:szCs w:val="32"/>
          <w:lang w:eastAsia="zh-CN"/>
        </w:rPr>
        <w:t>，鼓励选择具有政府背景或行业协会认证的权威平台</w:t>
      </w:r>
      <w:r>
        <w:rPr>
          <w:rFonts w:hint="eastAsia" w:ascii="仿宋_GB2312" w:eastAsia="仿宋_GB2312"/>
          <w:sz w:val="32"/>
          <w:szCs w:val="32"/>
        </w:rPr>
        <w:t>。</w:t>
      </w:r>
    </w:p>
    <w:p w14:paraId="7896F02F">
      <w:pPr>
        <w:spacing w:line="560" w:lineRule="exact"/>
        <w:ind w:firstLine="643"/>
        <w:rPr>
          <w:rFonts w:hint="eastAsia" w:ascii="仿宋_GB2312" w:eastAsia="仿宋_GB2312"/>
          <w:sz w:val="32"/>
          <w:szCs w:val="32"/>
        </w:rPr>
      </w:pPr>
      <w:r>
        <w:rPr>
          <w:rFonts w:hint="eastAsia" w:ascii="仿宋_GB2312" w:eastAsia="仿宋_GB2312"/>
          <w:sz w:val="32"/>
          <w:szCs w:val="32"/>
        </w:rPr>
        <w:t>联席会议确定储备粮轮换的最低（高）限价后，由承储企业将经过充分市场调研而确定的招标价、招标时间、标的数量、质量标准、付款方式和交割方式，报备区发展改革（粮食和储备）局后，进行公开招标。</w:t>
      </w:r>
    </w:p>
    <w:p w14:paraId="68B16233">
      <w:pPr>
        <w:autoSpaceDE w:val="0"/>
        <w:autoSpaceDN w:val="0"/>
        <w:adjustRightIn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2.招标程序。</w:t>
      </w:r>
    </w:p>
    <w:p w14:paraId="4AE0D036">
      <w:pPr>
        <w:autoSpaceDE w:val="0"/>
        <w:autoSpaceDN w:val="0"/>
        <w:adjustRightInd w:val="0"/>
        <w:spacing w:line="560" w:lineRule="exact"/>
        <w:ind w:firstLine="643" w:firstLineChars="200"/>
        <w:rPr>
          <w:rFonts w:ascii="仿宋_GB2312" w:eastAsia="仿宋_GB2312"/>
          <w:color w:val="auto"/>
          <w:sz w:val="32"/>
          <w:szCs w:val="32"/>
        </w:rPr>
      </w:pPr>
      <w:r>
        <w:rPr>
          <w:rFonts w:hint="eastAsia" w:ascii="仿宋_GB2312" w:hAnsi="楷体" w:eastAsia="仿宋_GB2312"/>
          <w:b/>
          <w:sz w:val="32"/>
          <w:szCs w:val="32"/>
        </w:rPr>
        <w:t>（1）公开招标。</w:t>
      </w:r>
      <w:r>
        <w:rPr>
          <w:rFonts w:hint="eastAsia" w:ascii="仿宋_GB2312" w:hAnsi="楷体" w:eastAsia="仿宋_GB2312"/>
          <w:color w:val="auto"/>
          <w:sz w:val="32"/>
          <w:szCs w:val="32"/>
        </w:rPr>
        <w:t>承储企业按</w:t>
      </w:r>
      <w:r>
        <w:rPr>
          <w:rFonts w:hint="eastAsia" w:ascii="仿宋_GB2312" w:hAnsi="楷体" w:eastAsia="仿宋_GB2312"/>
          <w:color w:val="auto"/>
          <w:sz w:val="32"/>
          <w:szCs w:val="32"/>
          <w:lang w:eastAsia="zh-CN"/>
        </w:rPr>
        <w:t>选定的有资质的交易平台</w:t>
      </w:r>
      <w:r>
        <w:rPr>
          <w:rFonts w:hint="eastAsia" w:ascii="仿宋_GB2312" w:hAnsi="楷体" w:eastAsia="仿宋_GB2312"/>
          <w:color w:val="auto"/>
          <w:sz w:val="32"/>
          <w:szCs w:val="32"/>
        </w:rPr>
        <w:t>要求组织公开招标。</w:t>
      </w:r>
      <w:r>
        <w:rPr>
          <w:rFonts w:hint="eastAsia" w:ascii="仿宋_GB2312" w:eastAsia="仿宋_GB2312"/>
          <w:color w:val="auto"/>
          <w:sz w:val="32"/>
          <w:szCs w:val="32"/>
        </w:rPr>
        <w:t>经招标未能成交的储备粮，自未能成交之日起15日内，可由承储企业按不低于竞价销售底价或不高于招标采购底价的价格自行择机进行轮换销售或采购，并报区发展改革（粮食和储备）局备案。</w:t>
      </w:r>
    </w:p>
    <w:p w14:paraId="53747F52">
      <w:pPr>
        <w:autoSpaceDE w:val="0"/>
        <w:autoSpaceDN w:val="0"/>
        <w:adjustRightInd w:val="0"/>
        <w:spacing w:line="560" w:lineRule="exact"/>
        <w:ind w:firstLine="643" w:firstLineChars="200"/>
        <w:rPr>
          <w:rFonts w:ascii="仿宋_GB2312" w:eastAsia="仿宋_GB2312"/>
          <w:sz w:val="32"/>
          <w:szCs w:val="32"/>
        </w:rPr>
      </w:pPr>
      <w:r>
        <w:rPr>
          <w:rFonts w:hint="eastAsia" w:ascii="仿宋_GB2312" w:hAnsi="楷体" w:eastAsia="仿宋_GB2312"/>
          <w:b/>
          <w:color w:val="auto"/>
          <w:sz w:val="32"/>
          <w:szCs w:val="32"/>
        </w:rPr>
        <w:t>（2）二次招标。首次招标后</w:t>
      </w:r>
      <w:r>
        <w:rPr>
          <w:rFonts w:hint="eastAsia" w:ascii="仿宋_GB2312" w:eastAsia="仿宋_GB2312"/>
          <w:color w:val="auto"/>
          <w:sz w:val="32"/>
          <w:szCs w:val="32"/>
        </w:rPr>
        <w:t>经线下销售或采购未能成交的储备粮，可由承储企业按第一期招标价减少（提高）80元/吨范围内制定第二次的招标价，在</w:t>
      </w:r>
      <w:r>
        <w:rPr>
          <w:rFonts w:hint="eastAsia" w:ascii="仿宋_GB2312" w:eastAsia="仿宋_GB2312"/>
          <w:color w:val="auto"/>
          <w:sz w:val="32"/>
          <w:szCs w:val="32"/>
          <w:lang w:eastAsia="zh-CN"/>
        </w:rPr>
        <w:t>首次招标选定平台</w:t>
      </w:r>
      <w:r>
        <w:rPr>
          <w:rFonts w:hint="eastAsia" w:ascii="仿宋_GB2312" w:eastAsia="仿宋_GB2312"/>
          <w:color w:val="auto"/>
          <w:sz w:val="32"/>
          <w:szCs w:val="32"/>
        </w:rPr>
        <w:t>进行第二</w:t>
      </w:r>
      <w:r>
        <w:rPr>
          <w:rFonts w:hint="eastAsia" w:ascii="仿宋_GB2312" w:eastAsia="仿宋_GB2312"/>
          <w:sz w:val="32"/>
          <w:szCs w:val="32"/>
        </w:rPr>
        <w:t>次公开竞价销售或招标采购，并报区发展改革（粮食和储备）局备案。经二次公开招标未能成交的储备粮，自未能成交之日起15日内，由承储企业按不低于竞价销售底价或不高于招标采购底价的价格自行择机进行轮换销售或采购，并报区发展改革（粮食和储备）局备案，如此类推。</w:t>
      </w:r>
    </w:p>
    <w:p w14:paraId="0956B2E5">
      <w:pPr>
        <w:autoSpaceDE w:val="0"/>
        <w:autoSpaceDN w:val="0"/>
        <w:adjustRightInd w:val="0"/>
        <w:spacing w:line="560" w:lineRule="exact"/>
        <w:ind w:firstLine="643" w:firstLineChars="200"/>
        <w:rPr>
          <w:rFonts w:ascii="仿宋_GB2312" w:eastAsia="仿宋_GB2312"/>
          <w:sz w:val="32"/>
          <w:szCs w:val="32"/>
        </w:rPr>
      </w:pPr>
      <w:r>
        <w:rPr>
          <w:rFonts w:hint="eastAsia" w:ascii="仿宋_GB2312" w:hAnsi="楷体" w:eastAsia="仿宋_GB2312"/>
          <w:b/>
          <w:sz w:val="32"/>
          <w:szCs w:val="32"/>
        </w:rPr>
        <w:t>3.在限价范围内未能成交的储备粮需由联席会议重新确定储备粮轮换的最低（高）限价。</w:t>
      </w:r>
    </w:p>
    <w:p w14:paraId="7752AAC6">
      <w:pPr>
        <w:spacing w:line="560" w:lineRule="exact"/>
        <w:ind w:firstLine="643" w:firstLineChars="200"/>
        <w:rPr>
          <w:rFonts w:hint="eastAsia" w:ascii="楷体" w:hAnsi="楷体" w:eastAsia="楷体"/>
          <w:b/>
          <w:sz w:val="32"/>
          <w:szCs w:val="32"/>
        </w:rPr>
      </w:pPr>
      <w:r>
        <w:rPr>
          <w:rFonts w:hint="eastAsia" w:ascii="楷体" w:hAnsi="楷体" w:eastAsia="楷体"/>
          <w:b/>
          <w:sz w:val="32"/>
          <w:szCs w:val="32"/>
        </w:rPr>
        <w:t>（二）定向购销方式</w:t>
      </w:r>
    </w:p>
    <w:p w14:paraId="6BE3234B">
      <w:pPr>
        <w:spacing w:line="560" w:lineRule="exact"/>
        <w:ind w:firstLine="640" w:firstLineChars="200"/>
        <w:rPr>
          <w:rFonts w:ascii="仿宋_GB2312" w:eastAsia="仿宋_GB2312"/>
          <w:sz w:val="32"/>
          <w:szCs w:val="32"/>
        </w:rPr>
      </w:pPr>
      <w:r>
        <w:rPr>
          <w:rFonts w:hint="eastAsia" w:ascii="仿宋_GB2312" w:eastAsia="仿宋_GB2312"/>
          <w:sz w:val="32"/>
          <w:szCs w:val="32"/>
        </w:rPr>
        <w:t>在有利节约储备运营成本、降低轮换风险和确保储备粮轮换安全的情况下，经区发展改革（粮食和储备）局审批同意后可以采用定向购销方式轮换。</w:t>
      </w:r>
      <w:r>
        <w:rPr>
          <w:rFonts w:hint="eastAsia" w:ascii="仿宋_GB2312" w:eastAsia="仿宋_GB2312"/>
          <w:sz w:val="32"/>
          <w:szCs w:val="32"/>
          <w:lang w:val="zh-TW"/>
        </w:rPr>
        <w:t>定向</w:t>
      </w:r>
      <w:r>
        <w:rPr>
          <w:rFonts w:hint="eastAsia" w:ascii="仿宋_GB2312" w:eastAsia="仿宋_GB2312"/>
          <w:sz w:val="32"/>
          <w:szCs w:val="32"/>
          <w:lang w:val="zh-TW" w:eastAsia="zh-TW"/>
        </w:rPr>
        <w:t>购销</w:t>
      </w:r>
      <w:r>
        <w:rPr>
          <w:rFonts w:hint="eastAsia" w:ascii="仿宋_GB2312" w:eastAsia="仿宋_GB2312"/>
          <w:sz w:val="32"/>
          <w:szCs w:val="32"/>
          <w:lang w:val="zh-TW"/>
        </w:rPr>
        <w:t>轮换必须通过粮食交易批发市场及相关网上交易平台公开招标进行，并全程留痕备查，保存相关资料、凭证不少于6年。</w:t>
      </w:r>
    </w:p>
    <w:p w14:paraId="17C98F15">
      <w:pPr>
        <w:autoSpaceDE w:val="0"/>
        <w:autoSpaceDN w:val="0"/>
        <w:adjustRightInd w:val="0"/>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14:paraId="1173205C">
      <w:pPr>
        <w:spacing w:line="560" w:lineRule="exact"/>
        <w:ind w:firstLine="643" w:firstLineChars="200"/>
        <w:rPr>
          <w:rFonts w:ascii="仿宋_GB2312" w:eastAsia="仿宋_GB2312"/>
          <w:sz w:val="32"/>
          <w:szCs w:val="32"/>
        </w:rPr>
      </w:pPr>
      <w:r>
        <w:rPr>
          <w:rFonts w:hint="eastAsia" w:ascii="楷体" w:hAnsi="楷体" w:eastAsia="楷体"/>
          <w:b/>
          <w:sz w:val="32"/>
          <w:szCs w:val="32"/>
        </w:rPr>
        <w:t>（一）加强组织。</w:t>
      </w:r>
      <w:r>
        <w:rPr>
          <w:rFonts w:hint="eastAsia" w:ascii="仿宋_GB2312" w:eastAsia="仿宋_GB2312"/>
          <w:sz w:val="32"/>
          <w:szCs w:val="32"/>
        </w:rPr>
        <w:t>为积极稳妥推进我区政策性粮食电子联网交易活动，成立我区政策性粮食推进电子联网交易工作小组，组长由区发展改革（粮食和储备）局分管领导担任，成员由区发展改革（粮食和储备）局主管业务股室、承储企业等有关人员组成，专门负责我区政策性粮食电子联网交易和采取其他方式购销的事宜。</w:t>
      </w:r>
    </w:p>
    <w:p w14:paraId="700498AB">
      <w:pPr>
        <w:autoSpaceDE w:val="0"/>
        <w:autoSpaceDN w:val="0"/>
        <w:adjustRightInd w:val="0"/>
        <w:spacing w:line="560" w:lineRule="exact"/>
        <w:ind w:firstLine="643" w:firstLineChars="200"/>
        <w:rPr>
          <w:rFonts w:ascii="仿宋_GB2312" w:eastAsia="仿宋_GB2312"/>
          <w:sz w:val="32"/>
          <w:szCs w:val="32"/>
        </w:rPr>
      </w:pPr>
      <w:r>
        <w:rPr>
          <w:rFonts w:hint="eastAsia" w:ascii="楷体" w:hAnsi="楷体" w:eastAsia="楷体"/>
          <w:b/>
          <w:sz w:val="32"/>
          <w:szCs w:val="32"/>
        </w:rPr>
        <w:t>（二）认真调研。</w:t>
      </w:r>
      <w:r>
        <w:rPr>
          <w:rFonts w:hint="eastAsia" w:ascii="仿宋_GB2312" w:eastAsia="仿宋_GB2312"/>
          <w:sz w:val="32"/>
          <w:szCs w:val="32"/>
        </w:rPr>
        <w:t>储备粮轮换是保证我区储备粮质量合格的基础，工作小组要加强市场调研，在确保减轻储备粮运营成本情况下，积极推进适宜我区储备粮轮换的方式。</w:t>
      </w:r>
    </w:p>
    <w:p w14:paraId="17BFD323">
      <w:pPr>
        <w:autoSpaceDE w:val="0"/>
        <w:autoSpaceDN w:val="0"/>
        <w:adjustRightInd w:val="0"/>
        <w:spacing w:line="560" w:lineRule="exact"/>
        <w:ind w:firstLine="643" w:firstLineChars="200"/>
        <w:rPr>
          <w:rFonts w:ascii="仿宋_GB2312" w:eastAsia="仿宋_GB2312"/>
          <w:sz w:val="32"/>
          <w:szCs w:val="32"/>
        </w:rPr>
      </w:pPr>
      <w:r>
        <w:rPr>
          <w:rFonts w:hint="eastAsia" w:ascii="楷体" w:hAnsi="楷体" w:eastAsia="楷体"/>
          <w:b/>
          <w:sz w:val="32"/>
          <w:szCs w:val="32"/>
        </w:rPr>
        <w:t>（三）严格纪律。</w:t>
      </w:r>
      <w:r>
        <w:rPr>
          <w:rFonts w:hint="eastAsia" w:ascii="仿宋_GB2312" w:hAnsi="楷体" w:eastAsia="仿宋_GB2312"/>
          <w:sz w:val="32"/>
          <w:szCs w:val="32"/>
        </w:rPr>
        <w:t>在</w:t>
      </w:r>
      <w:r>
        <w:rPr>
          <w:rFonts w:hint="eastAsia" w:ascii="仿宋_GB2312" w:eastAsia="仿宋_GB2312"/>
          <w:sz w:val="32"/>
          <w:szCs w:val="32"/>
        </w:rPr>
        <w:t>储备粮轮换操作中须严格遵守财政纪律，确保储备粮轮换公开透明操作，不断提升储备粮轮换的运营能力。</w:t>
      </w:r>
    </w:p>
    <w:p w14:paraId="7B080969">
      <w:pPr>
        <w:rPr>
          <w:rFonts w:hint="eastAsia"/>
        </w:rPr>
      </w:pPr>
    </w:p>
    <w:p w14:paraId="23D6DF4E">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 、附则</w:t>
      </w:r>
    </w:p>
    <w:p w14:paraId="083932EE">
      <w:pPr>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（一）解释部门。本</w:t>
      </w:r>
      <w:r>
        <w:rPr>
          <w:rFonts w:hint="eastAsia" w:ascii="仿宋_GB2312" w:hAnsi="仿宋_GB2312" w:eastAsia="仿宋_GB2312" w:cs="仿宋_GB2312"/>
          <w:bCs/>
          <w:kern w:val="34"/>
          <w:sz w:val="32"/>
          <w:szCs w:val="32"/>
        </w:rPr>
        <w:t>操作规程</w:t>
      </w:r>
      <w:r>
        <w:rPr>
          <w:rFonts w:hint="eastAsia" w:ascii="仿宋_GB2312" w:hAnsi="仿宋_GB2312" w:eastAsia="仿宋_GB2312" w:cs="仿宋_GB2312"/>
          <w:bCs/>
          <w:sz w:val="32"/>
          <w:szCs w:val="32"/>
        </w:rPr>
        <w:t>由江门市新会区发展和改革局（粮食和物资储备局）负责解释。</w:t>
      </w:r>
    </w:p>
    <w:p w14:paraId="1C254660">
      <w:pPr>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（二）施行时间。本</w:t>
      </w:r>
      <w:r>
        <w:rPr>
          <w:rFonts w:hint="eastAsia" w:ascii="仿宋_GB2312" w:hAnsi="仿宋_GB2312" w:eastAsia="仿宋_GB2312" w:cs="仿宋_GB2312"/>
          <w:bCs/>
          <w:kern w:val="34"/>
          <w:sz w:val="32"/>
          <w:szCs w:val="32"/>
        </w:rPr>
        <w:t>操作规程</w:t>
      </w:r>
      <w:r>
        <w:rPr>
          <w:rFonts w:hint="eastAsia" w:ascii="仿宋_GB2312" w:hAnsi="仿宋_GB2312" w:eastAsia="仿宋_GB2312" w:cs="仿宋_GB2312"/>
          <w:bCs/>
          <w:sz w:val="32"/>
          <w:szCs w:val="32"/>
        </w:rPr>
        <w:t>自202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日起施行</w:t>
      </w:r>
      <w:r>
        <w:rPr>
          <w:rStyle w:val="16"/>
          <w:rFonts w:hint="eastAsia"/>
          <w:lang w:eastAsia="zh-CN"/>
        </w:rPr>
        <w:t>，</w:t>
      </w:r>
      <w:r>
        <w:rPr>
          <w:rFonts w:hint="eastAsia" w:ascii="仿宋_GB2312" w:eastAsia="仿宋_GB2312"/>
          <w:sz w:val="32"/>
          <w:szCs w:val="32"/>
        </w:rPr>
        <w:t>有效期至</w:t>
      </w:r>
      <w:r>
        <w:rPr>
          <w:rFonts w:hint="eastAsia" w:ascii="仿宋_GB2312" w:eastAsia="仿宋_GB2312"/>
          <w:sz w:val="32"/>
          <w:szCs w:val="32"/>
          <w:lang w:val="en-US" w:eastAsia="zh-CN"/>
        </w:rPr>
        <w:t>2030</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hAnsi="仿宋_GB2312" w:eastAsia="仿宋_GB2312" w:cs="仿宋_GB2312"/>
          <w:bCs/>
          <w:sz w:val="32"/>
          <w:szCs w:val="32"/>
        </w:rPr>
        <w:t>。</w:t>
      </w:r>
    </w:p>
    <w:p w14:paraId="7F2B8F39">
      <w:pPr>
        <w:autoSpaceDE w:val="0"/>
        <w:autoSpaceDN w:val="0"/>
        <w:adjustRightInd w:val="0"/>
        <w:spacing w:line="560" w:lineRule="exact"/>
        <w:rPr>
          <w:rFonts w:ascii="仿宋_GB2312" w:hAnsi="仿宋_GB2312" w:eastAsia="仿宋_GB2312" w:cs="仿宋_GB2312"/>
          <w:kern w:val="34"/>
          <w:sz w:val="32"/>
          <w:szCs w:val="32"/>
        </w:rPr>
      </w:pPr>
      <w:bookmarkStart w:id="0" w:name="_GoBack"/>
      <w:bookmarkEnd w:id="0"/>
    </w:p>
    <w:sectPr>
      <w:footerReference r:id="rId3" w:type="default"/>
      <w:footerReference r:id="rId4" w:type="even"/>
      <w:pgSz w:w="11906" w:h="16838"/>
      <w:pgMar w:top="1985" w:right="1588" w:bottom="1871" w:left="1588" w:header="0"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BF0D">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4373245</wp:posOffset>
              </wp:positionH>
              <wp:positionV relativeFrom="paragraph">
                <wp:posOffset>8255</wp:posOffset>
              </wp:positionV>
              <wp:extent cx="1151255" cy="23114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51255" cy="231140"/>
                      </a:xfrm>
                      <a:prstGeom prst="rect">
                        <a:avLst/>
                      </a:prstGeom>
                      <a:noFill/>
                      <a:ln>
                        <a:noFill/>
                      </a:ln>
                      <a:effectLst/>
                    </wps:spPr>
                    <wps:txbx>
                      <w:txbxContent>
                        <w:p w14:paraId="39F6DA53">
                          <w:pPr>
                            <w:pStyle w:val="8"/>
                            <w:ind w:right="210" w:rightChars="100" w:firstLine="341" w:firstLineChars="122"/>
                            <w:rPr>
                              <w:rStyle w:val="15"/>
                              <w:b/>
                              <w:bCs/>
                              <w:sz w:val="28"/>
                              <w:szCs w:val="28"/>
                            </w:rPr>
                          </w:pPr>
                          <w:r>
                            <w:rPr>
                              <w:rStyle w:val="15"/>
                              <w:rFonts w:hint="eastAsia" w:ascii="仿宋_GB2312" w:eastAsia="仿宋_GB2312"/>
                              <w:bCs/>
                              <w:sz w:val="28"/>
                              <w:szCs w:val="28"/>
                            </w:rPr>
                            <w:t>—</w:t>
                          </w:r>
                          <w:r>
                            <w:rPr>
                              <w:rStyle w:val="15"/>
                              <w:rFonts w:hint="eastAsia"/>
                              <w:b/>
                              <w:bCs/>
                              <w:sz w:val="28"/>
                              <w:szCs w:val="28"/>
                            </w:rPr>
                            <w:t xml:space="preserve">  </w:t>
                          </w:r>
                          <w:r>
                            <w:rPr>
                              <w:bCs/>
                              <w:sz w:val="28"/>
                              <w:szCs w:val="28"/>
                            </w:rPr>
                            <w:fldChar w:fldCharType="begin"/>
                          </w:r>
                          <w:r>
                            <w:rPr>
                              <w:rStyle w:val="15"/>
                              <w:bCs/>
                              <w:sz w:val="28"/>
                              <w:szCs w:val="28"/>
                            </w:rPr>
                            <w:instrText xml:space="preserve">PAGE  </w:instrText>
                          </w:r>
                          <w:r>
                            <w:rPr>
                              <w:bCs/>
                              <w:sz w:val="28"/>
                              <w:szCs w:val="28"/>
                            </w:rPr>
                            <w:fldChar w:fldCharType="separate"/>
                          </w:r>
                          <w:r>
                            <w:rPr>
                              <w:rStyle w:val="15"/>
                              <w:bCs/>
                              <w:sz w:val="28"/>
                              <w:szCs w:val="28"/>
                            </w:rPr>
                            <w:t>1</w:t>
                          </w:r>
                          <w:r>
                            <w:rPr>
                              <w:bCs/>
                              <w:sz w:val="28"/>
                              <w:szCs w:val="28"/>
                            </w:rPr>
                            <w:fldChar w:fldCharType="end"/>
                          </w:r>
                          <w:r>
                            <w:rPr>
                              <w:rStyle w:val="15"/>
                              <w:rFonts w:hint="eastAsia"/>
                              <w:bCs/>
                              <w:sz w:val="28"/>
                              <w:szCs w:val="28"/>
                            </w:rPr>
                            <w:t xml:space="preserve"> </w:t>
                          </w:r>
                          <w:r>
                            <w:rPr>
                              <w:rStyle w:val="15"/>
                              <w:rFonts w:hint="eastAsia"/>
                              <w:b/>
                              <w:bCs/>
                              <w:sz w:val="28"/>
                              <w:szCs w:val="28"/>
                            </w:rPr>
                            <w:t xml:space="preserve"> </w:t>
                          </w:r>
                          <w:r>
                            <w:rPr>
                              <w:rStyle w:val="15"/>
                              <w:rFonts w:hint="eastAsia" w:ascii="仿宋_GB2312" w:eastAsia="仿宋_GB2312"/>
                              <w:bCs/>
                              <w:sz w:val="28"/>
                              <w:szCs w:val="28"/>
                            </w:rPr>
                            <w:t>—</w:t>
                          </w:r>
                          <w:r>
                            <w:rPr>
                              <w:rStyle w:val="15"/>
                              <w:rFonts w:hint="eastAsia"/>
                              <w:b/>
                              <w:bCs/>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left:344.35pt;margin-top:0.65pt;height:18.2pt;width:90.65pt;mso-position-horizontal-relative:margin;mso-wrap-style:none;z-index:251659264;mso-width-relative:page;mso-height-relative:page;" filled="f" stroked="f" coordsize="21600,21600" o:gfxdata="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Hf739QAAAAIAQAADwAAAAAAAAABACAAAAAi&#10;AAAAZHJzL2Rvd25yZXYueG1sUEsBAhQAFAAAAAgAh07iQH9N60/VAQAAqQMAAA4AAAAAAAAAAQAg&#10;AAAAIwEAAGRycy9lMm9Eb2MueG1sUEsFBgAAAAAGAAYAWQEAAGoFAAAAAA==&#10;">
              <v:fill on="f" focussize="0,0"/>
              <v:stroke on="f"/>
              <v:imagedata o:title=""/>
              <o:lock v:ext="edit" aspectratio="f"/>
              <v:textbox inset="0mm,0mm,0mm,0mm" style="mso-fit-shape-to-text:t;">
                <w:txbxContent>
                  <w:p w14:paraId="39F6DA53">
                    <w:pPr>
                      <w:pStyle w:val="8"/>
                      <w:ind w:right="210" w:rightChars="100" w:firstLine="341" w:firstLineChars="122"/>
                      <w:rPr>
                        <w:rStyle w:val="15"/>
                        <w:b/>
                        <w:bCs/>
                        <w:sz w:val="28"/>
                        <w:szCs w:val="28"/>
                      </w:rPr>
                    </w:pPr>
                    <w:r>
                      <w:rPr>
                        <w:rStyle w:val="15"/>
                        <w:rFonts w:hint="eastAsia" w:ascii="仿宋_GB2312" w:eastAsia="仿宋_GB2312"/>
                        <w:bCs/>
                        <w:sz w:val="28"/>
                        <w:szCs w:val="28"/>
                      </w:rPr>
                      <w:t>—</w:t>
                    </w:r>
                    <w:r>
                      <w:rPr>
                        <w:rStyle w:val="15"/>
                        <w:rFonts w:hint="eastAsia"/>
                        <w:b/>
                        <w:bCs/>
                        <w:sz w:val="28"/>
                        <w:szCs w:val="28"/>
                      </w:rPr>
                      <w:t xml:space="preserve">  </w:t>
                    </w:r>
                    <w:r>
                      <w:rPr>
                        <w:bCs/>
                        <w:sz w:val="28"/>
                        <w:szCs w:val="28"/>
                      </w:rPr>
                      <w:fldChar w:fldCharType="begin"/>
                    </w:r>
                    <w:r>
                      <w:rPr>
                        <w:rStyle w:val="15"/>
                        <w:bCs/>
                        <w:sz w:val="28"/>
                        <w:szCs w:val="28"/>
                      </w:rPr>
                      <w:instrText xml:space="preserve">PAGE  </w:instrText>
                    </w:r>
                    <w:r>
                      <w:rPr>
                        <w:bCs/>
                        <w:sz w:val="28"/>
                        <w:szCs w:val="28"/>
                      </w:rPr>
                      <w:fldChar w:fldCharType="separate"/>
                    </w:r>
                    <w:r>
                      <w:rPr>
                        <w:rStyle w:val="15"/>
                        <w:bCs/>
                        <w:sz w:val="28"/>
                        <w:szCs w:val="28"/>
                      </w:rPr>
                      <w:t>1</w:t>
                    </w:r>
                    <w:r>
                      <w:rPr>
                        <w:bCs/>
                        <w:sz w:val="28"/>
                        <w:szCs w:val="28"/>
                      </w:rPr>
                      <w:fldChar w:fldCharType="end"/>
                    </w:r>
                    <w:r>
                      <w:rPr>
                        <w:rStyle w:val="15"/>
                        <w:rFonts w:hint="eastAsia"/>
                        <w:bCs/>
                        <w:sz w:val="28"/>
                        <w:szCs w:val="28"/>
                      </w:rPr>
                      <w:t xml:space="preserve"> </w:t>
                    </w:r>
                    <w:r>
                      <w:rPr>
                        <w:rStyle w:val="15"/>
                        <w:rFonts w:hint="eastAsia"/>
                        <w:b/>
                        <w:bCs/>
                        <w:sz w:val="28"/>
                        <w:szCs w:val="28"/>
                      </w:rPr>
                      <w:t xml:space="preserve"> </w:t>
                    </w:r>
                    <w:r>
                      <w:rPr>
                        <w:rStyle w:val="15"/>
                        <w:rFonts w:hint="eastAsia" w:ascii="仿宋_GB2312" w:eastAsia="仿宋_GB2312"/>
                        <w:bCs/>
                        <w:sz w:val="28"/>
                        <w:szCs w:val="28"/>
                      </w:rPr>
                      <w:t>—</w:t>
                    </w:r>
                    <w:r>
                      <w:rPr>
                        <w:rStyle w:val="15"/>
                        <w:rFonts w:hint="eastAsia"/>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BD0A">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20320</wp:posOffset>
              </wp:positionV>
              <wp:extent cx="1022985" cy="23114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022985" cy="231140"/>
                      </a:xfrm>
                      <a:prstGeom prst="rect">
                        <a:avLst/>
                      </a:prstGeom>
                      <a:noFill/>
                      <a:ln>
                        <a:noFill/>
                      </a:ln>
                      <a:effectLst/>
                    </wps:spPr>
                    <wps:txbx>
                      <w:txbxContent>
                        <w:p w14:paraId="529CA850">
                          <w:pPr>
                            <w:pStyle w:val="8"/>
                            <w:ind w:left="210" w:leftChars="100"/>
                            <w:rPr>
                              <w:rStyle w:val="15"/>
                              <w:sz w:val="28"/>
                              <w:szCs w:val="28"/>
                            </w:rPr>
                          </w:pPr>
                          <w:r>
                            <w:rPr>
                              <w:rStyle w:val="15"/>
                              <w:rFonts w:hint="eastAsia" w:ascii="仿宋_GB2312" w:eastAsia="仿宋_GB2312"/>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2</w:t>
                          </w:r>
                          <w:r>
                            <w:rPr>
                              <w:sz w:val="28"/>
                              <w:szCs w:val="28"/>
                            </w:rPr>
                            <w:fldChar w:fldCharType="end"/>
                          </w:r>
                          <w:r>
                            <w:rPr>
                              <w:rStyle w:val="15"/>
                              <w:rFonts w:hint="eastAsia"/>
                              <w:sz w:val="28"/>
                              <w:szCs w:val="28"/>
                            </w:rPr>
                            <w:t xml:space="preserve">  </w:t>
                          </w:r>
                          <w:r>
                            <w:rPr>
                              <w:rStyle w:val="15"/>
                              <w:rFonts w:hint="eastAsia" w:ascii="仿宋_GB2312" w:eastAsia="仿宋_GB2312"/>
                              <w:sz w:val="28"/>
                              <w:szCs w:val="28"/>
                            </w:rPr>
                            <w:t>—</w:t>
                          </w:r>
                        </w:p>
                      </w:txbxContent>
                    </wps:txbx>
                    <wps:bodyPr wrap="none" lIns="0" tIns="0" rIns="0" bIns="0" upright="1">
                      <a:spAutoFit/>
                    </wps:bodyPr>
                  </wps:wsp>
                </a:graphicData>
              </a:graphic>
            </wp:anchor>
          </w:drawing>
        </mc:Choice>
        <mc:Fallback>
          <w:pict>
            <v:shape id="文本框 1026" o:spid="_x0000_s1026" o:spt="202" type="#_x0000_t202" style="position:absolute;left:0pt;margin-left:-0.75pt;margin-top:1.6pt;height:18.2pt;width:80.55pt;mso-position-horizontal-relative:margin;mso-wrap-style:none;z-index:251660288;mso-width-relative:page;mso-height-relative:page;" filled="f" stroked="f" coordsize="21600,21600" o:gfxdata="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WFtTdMAAAAHAQAADwAAAAAAAAABACAAAAAi&#10;AAAAZHJzL2Rvd25yZXYueG1sUEsBAhQAFAAAAAgAh07iQDJcfe3WAQAAqQMAAA4AAAAAAAAAAQAg&#10;AAAAIgEAAGRycy9lMm9Eb2MueG1sUEsFBgAAAAAGAAYAWQEAAGoFAAAAAA==&#10;">
              <v:fill on="f" focussize="0,0"/>
              <v:stroke on="f"/>
              <v:imagedata o:title=""/>
              <o:lock v:ext="edit" aspectratio="f"/>
              <v:textbox inset="0mm,0mm,0mm,0mm" style="mso-fit-shape-to-text:t;">
                <w:txbxContent>
                  <w:p w14:paraId="529CA850">
                    <w:pPr>
                      <w:pStyle w:val="8"/>
                      <w:ind w:left="210" w:leftChars="100"/>
                      <w:rPr>
                        <w:rStyle w:val="15"/>
                        <w:sz w:val="28"/>
                        <w:szCs w:val="28"/>
                      </w:rPr>
                    </w:pPr>
                    <w:r>
                      <w:rPr>
                        <w:rStyle w:val="15"/>
                        <w:rFonts w:hint="eastAsia" w:ascii="仿宋_GB2312" w:eastAsia="仿宋_GB2312"/>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2</w:t>
                    </w:r>
                    <w:r>
                      <w:rPr>
                        <w:sz w:val="28"/>
                        <w:szCs w:val="28"/>
                      </w:rPr>
                      <w:fldChar w:fldCharType="end"/>
                    </w:r>
                    <w:r>
                      <w:rPr>
                        <w:rStyle w:val="15"/>
                        <w:rFonts w:hint="eastAsia"/>
                        <w:sz w:val="28"/>
                        <w:szCs w:val="28"/>
                      </w:rPr>
                      <w:t xml:space="preserve">  </w:t>
                    </w:r>
                    <w:r>
                      <w:rPr>
                        <w:rStyle w:val="15"/>
                        <w:rFonts w:hint="eastAsia" w:ascii="仿宋_GB2312" w:eastAsia="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OTM2NmZlOTgyYjFhYzczMzE1NDMwMjM5OTVlOTQifQ=="/>
    <w:docVar w:name="KSO_WPS_MARK_KEY" w:val="97e893fd-d202-4cfd-bb69-3b664e8d00c5"/>
  </w:docVars>
  <w:rsids>
    <w:rsidRoot w:val="0001753E"/>
    <w:rsid w:val="00004FB3"/>
    <w:rsid w:val="00007F80"/>
    <w:rsid w:val="000111DA"/>
    <w:rsid w:val="00014A0C"/>
    <w:rsid w:val="0001753E"/>
    <w:rsid w:val="00025820"/>
    <w:rsid w:val="00027631"/>
    <w:rsid w:val="00030D22"/>
    <w:rsid w:val="00031C18"/>
    <w:rsid w:val="000320D2"/>
    <w:rsid w:val="0003702E"/>
    <w:rsid w:val="000403CF"/>
    <w:rsid w:val="000450CF"/>
    <w:rsid w:val="0007084F"/>
    <w:rsid w:val="00076332"/>
    <w:rsid w:val="000815EB"/>
    <w:rsid w:val="0008234B"/>
    <w:rsid w:val="00092F16"/>
    <w:rsid w:val="000954E7"/>
    <w:rsid w:val="000968C6"/>
    <w:rsid w:val="000A18E0"/>
    <w:rsid w:val="000B1CF4"/>
    <w:rsid w:val="000B71AE"/>
    <w:rsid w:val="000C75E1"/>
    <w:rsid w:val="000D6098"/>
    <w:rsid w:val="000F417B"/>
    <w:rsid w:val="0010221C"/>
    <w:rsid w:val="00106C40"/>
    <w:rsid w:val="00107CBD"/>
    <w:rsid w:val="00112D52"/>
    <w:rsid w:val="0011662B"/>
    <w:rsid w:val="00116854"/>
    <w:rsid w:val="001172A9"/>
    <w:rsid w:val="00127317"/>
    <w:rsid w:val="001277FB"/>
    <w:rsid w:val="00137EE3"/>
    <w:rsid w:val="001464C8"/>
    <w:rsid w:val="00153A05"/>
    <w:rsid w:val="00153D49"/>
    <w:rsid w:val="001549C0"/>
    <w:rsid w:val="00154DCF"/>
    <w:rsid w:val="00156ADE"/>
    <w:rsid w:val="00164EBD"/>
    <w:rsid w:val="00167E5D"/>
    <w:rsid w:val="001706F6"/>
    <w:rsid w:val="00174BB9"/>
    <w:rsid w:val="001760F4"/>
    <w:rsid w:val="0017735A"/>
    <w:rsid w:val="001819CA"/>
    <w:rsid w:val="00183383"/>
    <w:rsid w:val="001901B3"/>
    <w:rsid w:val="00193455"/>
    <w:rsid w:val="001A0BB4"/>
    <w:rsid w:val="001A310F"/>
    <w:rsid w:val="001A5C48"/>
    <w:rsid w:val="001B6BA3"/>
    <w:rsid w:val="001C078B"/>
    <w:rsid w:val="001C1240"/>
    <w:rsid w:val="001C5342"/>
    <w:rsid w:val="001C67EA"/>
    <w:rsid w:val="001C6D86"/>
    <w:rsid w:val="001D4947"/>
    <w:rsid w:val="001E2D4C"/>
    <w:rsid w:val="001E569A"/>
    <w:rsid w:val="001E6259"/>
    <w:rsid w:val="001E73F0"/>
    <w:rsid w:val="001F439F"/>
    <w:rsid w:val="00201C00"/>
    <w:rsid w:val="00204A90"/>
    <w:rsid w:val="002104AA"/>
    <w:rsid w:val="00211CC1"/>
    <w:rsid w:val="00215B94"/>
    <w:rsid w:val="00216A76"/>
    <w:rsid w:val="00237BAD"/>
    <w:rsid w:val="002419CE"/>
    <w:rsid w:val="0024476A"/>
    <w:rsid w:val="002514EE"/>
    <w:rsid w:val="00251C94"/>
    <w:rsid w:val="00256A1E"/>
    <w:rsid w:val="00272D23"/>
    <w:rsid w:val="00273029"/>
    <w:rsid w:val="00283F51"/>
    <w:rsid w:val="00291D3F"/>
    <w:rsid w:val="0029513B"/>
    <w:rsid w:val="002A0BEA"/>
    <w:rsid w:val="002A1C01"/>
    <w:rsid w:val="002A2583"/>
    <w:rsid w:val="002C6C04"/>
    <w:rsid w:val="002D561E"/>
    <w:rsid w:val="002E0EB9"/>
    <w:rsid w:val="002E396A"/>
    <w:rsid w:val="002F63DE"/>
    <w:rsid w:val="002F7A46"/>
    <w:rsid w:val="00301A43"/>
    <w:rsid w:val="003033D5"/>
    <w:rsid w:val="00312B2E"/>
    <w:rsid w:val="00317792"/>
    <w:rsid w:val="0032193C"/>
    <w:rsid w:val="00321D1D"/>
    <w:rsid w:val="0033120B"/>
    <w:rsid w:val="0033496B"/>
    <w:rsid w:val="00335160"/>
    <w:rsid w:val="003402D4"/>
    <w:rsid w:val="00346982"/>
    <w:rsid w:val="0034736E"/>
    <w:rsid w:val="00355986"/>
    <w:rsid w:val="0037025A"/>
    <w:rsid w:val="00376C93"/>
    <w:rsid w:val="00376FA9"/>
    <w:rsid w:val="00381E94"/>
    <w:rsid w:val="00382F64"/>
    <w:rsid w:val="00385669"/>
    <w:rsid w:val="003873BF"/>
    <w:rsid w:val="003878CD"/>
    <w:rsid w:val="00387FD0"/>
    <w:rsid w:val="00397B0B"/>
    <w:rsid w:val="003A030F"/>
    <w:rsid w:val="003B6E40"/>
    <w:rsid w:val="003C0F9B"/>
    <w:rsid w:val="003C319D"/>
    <w:rsid w:val="003C40F6"/>
    <w:rsid w:val="003C5888"/>
    <w:rsid w:val="003C69D3"/>
    <w:rsid w:val="003D3E88"/>
    <w:rsid w:val="003D4C34"/>
    <w:rsid w:val="003D5F9F"/>
    <w:rsid w:val="003E203B"/>
    <w:rsid w:val="003E3464"/>
    <w:rsid w:val="003E3800"/>
    <w:rsid w:val="003E68C8"/>
    <w:rsid w:val="003E7F11"/>
    <w:rsid w:val="003F3E7A"/>
    <w:rsid w:val="003F48A5"/>
    <w:rsid w:val="004034AA"/>
    <w:rsid w:val="00410A99"/>
    <w:rsid w:val="00417F50"/>
    <w:rsid w:val="004203B2"/>
    <w:rsid w:val="004225EC"/>
    <w:rsid w:val="004279F2"/>
    <w:rsid w:val="00444B5D"/>
    <w:rsid w:val="00445AF7"/>
    <w:rsid w:val="004504DE"/>
    <w:rsid w:val="00462CA3"/>
    <w:rsid w:val="00464B77"/>
    <w:rsid w:val="004651F0"/>
    <w:rsid w:val="004719B0"/>
    <w:rsid w:val="004764BA"/>
    <w:rsid w:val="00484196"/>
    <w:rsid w:val="004865FF"/>
    <w:rsid w:val="004917E0"/>
    <w:rsid w:val="00491E7E"/>
    <w:rsid w:val="004967B4"/>
    <w:rsid w:val="004A240E"/>
    <w:rsid w:val="004A262B"/>
    <w:rsid w:val="004A354F"/>
    <w:rsid w:val="004A7F0A"/>
    <w:rsid w:val="004B2206"/>
    <w:rsid w:val="004B5F7D"/>
    <w:rsid w:val="004C3B08"/>
    <w:rsid w:val="004C43E1"/>
    <w:rsid w:val="004C6A7D"/>
    <w:rsid w:val="004D0A06"/>
    <w:rsid w:val="004E1C5E"/>
    <w:rsid w:val="004F17EF"/>
    <w:rsid w:val="004F525B"/>
    <w:rsid w:val="00522262"/>
    <w:rsid w:val="00522445"/>
    <w:rsid w:val="00524184"/>
    <w:rsid w:val="00525828"/>
    <w:rsid w:val="00526C67"/>
    <w:rsid w:val="00530E31"/>
    <w:rsid w:val="00531130"/>
    <w:rsid w:val="00536682"/>
    <w:rsid w:val="00540C24"/>
    <w:rsid w:val="005418EA"/>
    <w:rsid w:val="005428E8"/>
    <w:rsid w:val="005458C9"/>
    <w:rsid w:val="00547440"/>
    <w:rsid w:val="005527C7"/>
    <w:rsid w:val="00557E18"/>
    <w:rsid w:val="005614B5"/>
    <w:rsid w:val="00570FBA"/>
    <w:rsid w:val="00575DE5"/>
    <w:rsid w:val="00575E0A"/>
    <w:rsid w:val="0057788D"/>
    <w:rsid w:val="0058103F"/>
    <w:rsid w:val="00584569"/>
    <w:rsid w:val="00585800"/>
    <w:rsid w:val="00593A86"/>
    <w:rsid w:val="00596A3F"/>
    <w:rsid w:val="005A5268"/>
    <w:rsid w:val="005A52D3"/>
    <w:rsid w:val="005A66AF"/>
    <w:rsid w:val="005A681D"/>
    <w:rsid w:val="005A6C05"/>
    <w:rsid w:val="005B70B8"/>
    <w:rsid w:val="005D319B"/>
    <w:rsid w:val="005D344E"/>
    <w:rsid w:val="005D4140"/>
    <w:rsid w:val="005E0291"/>
    <w:rsid w:val="005E50EC"/>
    <w:rsid w:val="005F7498"/>
    <w:rsid w:val="00613641"/>
    <w:rsid w:val="006163B7"/>
    <w:rsid w:val="00617B33"/>
    <w:rsid w:val="00620AD1"/>
    <w:rsid w:val="00622714"/>
    <w:rsid w:val="00623A73"/>
    <w:rsid w:val="006334A7"/>
    <w:rsid w:val="00637351"/>
    <w:rsid w:val="006454E5"/>
    <w:rsid w:val="006468F4"/>
    <w:rsid w:val="00650D1E"/>
    <w:rsid w:val="00652F55"/>
    <w:rsid w:val="006547E1"/>
    <w:rsid w:val="00655FAD"/>
    <w:rsid w:val="006617AC"/>
    <w:rsid w:val="006627D5"/>
    <w:rsid w:val="00666664"/>
    <w:rsid w:val="0067210C"/>
    <w:rsid w:val="0067437C"/>
    <w:rsid w:val="0068093A"/>
    <w:rsid w:val="0068351E"/>
    <w:rsid w:val="0068538D"/>
    <w:rsid w:val="0069625B"/>
    <w:rsid w:val="00696D8A"/>
    <w:rsid w:val="00697FCC"/>
    <w:rsid w:val="006A62B4"/>
    <w:rsid w:val="006B38C9"/>
    <w:rsid w:val="006B6584"/>
    <w:rsid w:val="006C2853"/>
    <w:rsid w:val="006C6853"/>
    <w:rsid w:val="006D2042"/>
    <w:rsid w:val="006D3926"/>
    <w:rsid w:val="006E2471"/>
    <w:rsid w:val="006E3499"/>
    <w:rsid w:val="006E43FE"/>
    <w:rsid w:val="006F3B44"/>
    <w:rsid w:val="00705AED"/>
    <w:rsid w:val="00721819"/>
    <w:rsid w:val="00722FE2"/>
    <w:rsid w:val="00723FD2"/>
    <w:rsid w:val="00724DD9"/>
    <w:rsid w:val="00731C0C"/>
    <w:rsid w:val="00731E03"/>
    <w:rsid w:val="00733220"/>
    <w:rsid w:val="00735F23"/>
    <w:rsid w:val="0074392D"/>
    <w:rsid w:val="00751027"/>
    <w:rsid w:val="00756C00"/>
    <w:rsid w:val="00761EEE"/>
    <w:rsid w:val="007646A0"/>
    <w:rsid w:val="00766796"/>
    <w:rsid w:val="007724CA"/>
    <w:rsid w:val="007759C2"/>
    <w:rsid w:val="00777304"/>
    <w:rsid w:val="0078369F"/>
    <w:rsid w:val="007873CA"/>
    <w:rsid w:val="0078740B"/>
    <w:rsid w:val="0079105F"/>
    <w:rsid w:val="007B23AC"/>
    <w:rsid w:val="007B5ABF"/>
    <w:rsid w:val="007C0912"/>
    <w:rsid w:val="007C3694"/>
    <w:rsid w:val="007C4047"/>
    <w:rsid w:val="007C7484"/>
    <w:rsid w:val="007D565F"/>
    <w:rsid w:val="007E0565"/>
    <w:rsid w:val="007E431B"/>
    <w:rsid w:val="007F19CA"/>
    <w:rsid w:val="007F38B3"/>
    <w:rsid w:val="00800014"/>
    <w:rsid w:val="00807301"/>
    <w:rsid w:val="00807B44"/>
    <w:rsid w:val="00807DC6"/>
    <w:rsid w:val="00817726"/>
    <w:rsid w:val="008269EA"/>
    <w:rsid w:val="00827B67"/>
    <w:rsid w:val="00827B87"/>
    <w:rsid w:val="0083056E"/>
    <w:rsid w:val="00832272"/>
    <w:rsid w:val="0084008C"/>
    <w:rsid w:val="008407E5"/>
    <w:rsid w:val="0084303E"/>
    <w:rsid w:val="00843C49"/>
    <w:rsid w:val="00860841"/>
    <w:rsid w:val="00860CD5"/>
    <w:rsid w:val="00870529"/>
    <w:rsid w:val="008736DC"/>
    <w:rsid w:val="00884570"/>
    <w:rsid w:val="00886795"/>
    <w:rsid w:val="00893E1B"/>
    <w:rsid w:val="00896B74"/>
    <w:rsid w:val="008A1526"/>
    <w:rsid w:val="008A342A"/>
    <w:rsid w:val="008A506D"/>
    <w:rsid w:val="008A6D60"/>
    <w:rsid w:val="008B09B5"/>
    <w:rsid w:val="008B1DDA"/>
    <w:rsid w:val="008B3E10"/>
    <w:rsid w:val="008C3995"/>
    <w:rsid w:val="008C53B0"/>
    <w:rsid w:val="008C6AB6"/>
    <w:rsid w:val="008D6042"/>
    <w:rsid w:val="008E69D0"/>
    <w:rsid w:val="008F1294"/>
    <w:rsid w:val="008F55F6"/>
    <w:rsid w:val="008F6993"/>
    <w:rsid w:val="0090622A"/>
    <w:rsid w:val="009075FE"/>
    <w:rsid w:val="00912935"/>
    <w:rsid w:val="0091673B"/>
    <w:rsid w:val="00916CA3"/>
    <w:rsid w:val="00931844"/>
    <w:rsid w:val="00937455"/>
    <w:rsid w:val="009462C5"/>
    <w:rsid w:val="0094672B"/>
    <w:rsid w:val="00950B4B"/>
    <w:rsid w:val="009518DC"/>
    <w:rsid w:val="0095377E"/>
    <w:rsid w:val="0095679E"/>
    <w:rsid w:val="00961E1A"/>
    <w:rsid w:val="0097645A"/>
    <w:rsid w:val="00980592"/>
    <w:rsid w:val="0098112B"/>
    <w:rsid w:val="009833CC"/>
    <w:rsid w:val="00990B12"/>
    <w:rsid w:val="00993B39"/>
    <w:rsid w:val="009A18FB"/>
    <w:rsid w:val="009A2AE3"/>
    <w:rsid w:val="009B0E2F"/>
    <w:rsid w:val="009B400B"/>
    <w:rsid w:val="009B4A28"/>
    <w:rsid w:val="009C35A3"/>
    <w:rsid w:val="009C4BFA"/>
    <w:rsid w:val="009C5923"/>
    <w:rsid w:val="009D1274"/>
    <w:rsid w:val="009D6E09"/>
    <w:rsid w:val="009F0CE1"/>
    <w:rsid w:val="009F50A6"/>
    <w:rsid w:val="009F7048"/>
    <w:rsid w:val="009F75EA"/>
    <w:rsid w:val="00A05005"/>
    <w:rsid w:val="00A14A1E"/>
    <w:rsid w:val="00A1792A"/>
    <w:rsid w:val="00A23D36"/>
    <w:rsid w:val="00A248C7"/>
    <w:rsid w:val="00A26A63"/>
    <w:rsid w:val="00A27B1C"/>
    <w:rsid w:val="00A33023"/>
    <w:rsid w:val="00A366E1"/>
    <w:rsid w:val="00A44590"/>
    <w:rsid w:val="00A56696"/>
    <w:rsid w:val="00A57EA9"/>
    <w:rsid w:val="00A64287"/>
    <w:rsid w:val="00A812D6"/>
    <w:rsid w:val="00A957DE"/>
    <w:rsid w:val="00AA0648"/>
    <w:rsid w:val="00AA5FF3"/>
    <w:rsid w:val="00AE2CB4"/>
    <w:rsid w:val="00AF002B"/>
    <w:rsid w:val="00AF3F40"/>
    <w:rsid w:val="00AF57D0"/>
    <w:rsid w:val="00B00049"/>
    <w:rsid w:val="00B01351"/>
    <w:rsid w:val="00B017AE"/>
    <w:rsid w:val="00B01D43"/>
    <w:rsid w:val="00B03E99"/>
    <w:rsid w:val="00B0406F"/>
    <w:rsid w:val="00B052EF"/>
    <w:rsid w:val="00B060F9"/>
    <w:rsid w:val="00B151C3"/>
    <w:rsid w:val="00B1756F"/>
    <w:rsid w:val="00B2426A"/>
    <w:rsid w:val="00B315B1"/>
    <w:rsid w:val="00B31E52"/>
    <w:rsid w:val="00B34169"/>
    <w:rsid w:val="00B362FF"/>
    <w:rsid w:val="00B4007F"/>
    <w:rsid w:val="00B41BBA"/>
    <w:rsid w:val="00B503C7"/>
    <w:rsid w:val="00B56055"/>
    <w:rsid w:val="00B5696E"/>
    <w:rsid w:val="00B659C4"/>
    <w:rsid w:val="00B66D76"/>
    <w:rsid w:val="00B754AC"/>
    <w:rsid w:val="00B806AF"/>
    <w:rsid w:val="00B806C0"/>
    <w:rsid w:val="00B81691"/>
    <w:rsid w:val="00B82589"/>
    <w:rsid w:val="00B826A3"/>
    <w:rsid w:val="00B90AAC"/>
    <w:rsid w:val="00B9719A"/>
    <w:rsid w:val="00B97B3F"/>
    <w:rsid w:val="00B97F9D"/>
    <w:rsid w:val="00BB0071"/>
    <w:rsid w:val="00BB1485"/>
    <w:rsid w:val="00BB3A9F"/>
    <w:rsid w:val="00BB5549"/>
    <w:rsid w:val="00BB6C16"/>
    <w:rsid w:val="00BC603E"/>
    <w:rsid w:val="00BC6B53"/>
    <w:rsid w:val="00BC77E6"/>
    <w:rsid w:val="00BC7D42"/>
    <w:rsid w:val="00BD155C"/>
    <w:rsid w:val="00BD2425"/>
    <w:rsid w:val="00BE27E6"/>
    <w:rsid w:val="00BF04D7"/>
    <w:rsid w:val="00BF0D2D"/>
    <w:rsid w:val="00BF5AF7"/>
    <w:rsid w:val="00BF5D26"/>
    <w:rsid w:val="00BF6BCB"/>
    <w:rsid w:val="00C031BA"/>
    <w:rsid w:val="00C13539"/>
    <w:rsid w:val="00C145E0"/>
    <w:rsid w:val="00C17FFA"/>
    <w:rsid w:val="00C21CEF"/>
    <w:rsid w:val="00C232ED"/>
    <w:rsid w:val="00C242A9"/>
    <w:rsid w:val="00C26E5E"/>
    <w:rsid w:val="00C27975"/>
    <w:rsid w:val="00C35CF7"/>
    <w:rsid w:val="00C41166"/>
    <w:rsid w:val="00C46176"/>
    <w:rsid w:val="00C47B73"/>
    <w:rsid w:val="00C52D57"/>
    <w:rsid w:val="00C52E15"/>
    <w:rsid w:val="00C561A6"/>
    <w:rsid w:val="00C658E1"/>
    <w:rsid w:val="00C65AE9"/>
    <w:rsid w:val="00C71BF6"/>
    <w:rsid w:val="00C71D67"/>
    <w:rsid w:val="00C726AC"/>
    <w:rsid w:val="00C91FD2"/>
    <w:rsid w:val="00C92D94"/>
    <w:rsid w:val="00C9430E"/>
    <w:rsid w:val="00C961D1"/>
    <w:rsid w:val="00C97A1E"/>
    <w:rsid w:val="00CA13E8"/>
    <w:rsid w:val="00CA47BB"/>
    <w:rsid w:val="00CA51E0"/>
    <w:rsid w:val="00CA5309"/>
    <w:rsid w:val="00CA593E"/>
    <w:rsid w:val="00CB1263"/>
    <w:rsid w:val="00CB3A51"/>
    <w:rsid w:val="00CB3E8D"/>
    <w:rsid w:val="00CC4B27"/>
    <w:rsid w:val="00CD3D82"/>
    <w:rsid w:val="00CD70EF"/>
    <w:rsid w:val="00CD7802"/>
    <w:rsid w:val="00CE3994"/>
    <w:rsid w:val="00CF21EB"/>
    <w:rsid w:val="00CF29E7"/>
    <w:rsid w:val="00D01260"/>
    <w:rsid w:val="00D11730"/>
    <w:rsid w:val="00D252DE"/>
    <w:rsid w:val="00D312FE"/>
    <w:rsid w:val="00D32166"/>
    <w:rsid w:val="00D32CB2"/>
    <w:rsid w:val="00D330E5"/>
    <w:rsid w:val="00D60EE0"/>
    <w:rsid w:val="00D65127"/>
    <w:rsid w:val="00D6630E"/>
    <w:rsid w:val="00D70924"/>
    <w:rsid w:val="00D70A71"/>
    <w:rsid w:val="00D70E8D"/>
    <w:rsid w:val="00D71D81"/>
    <w:rsid w:val="00D75C8B"/>
    <w:rsid w:val="00D76304"/>
    <w:rsid w:val="00D76EA7"/>
    <w:rsid w:val="00D818B9"/>
    <w:rsid w:val="00D81AD4"/>
    <w:rsid w:val="00D83ADA"/>
    <w:rsid w:val="00D862BD"/>
    <w:rsid w:val="00D86A00"/>
    <w:rsid w:val="00D87C54"/>
    <w:rsid w:val="00D93947"/>
    <w:rsid w:val="00D95CD1"/>
    <w:rsid w:val="00DA4B9F"/>
    <w:rsid w:val="00DB0F86"/>
    <w:rsid w:val="00DB45FE"/>
    <w:rsid w:val="00DC360F"/>
    <w:rsid w:val="00DC4B87"/>
    <w:rsid w:val="00DC4CF4"/>
    <w:rsid w:val="00DD602A"/>
    <w:rsid w:val="00DE1200"/>
    <w:rsid w:val="00DE1955"/>
    <w:rsid w:val="00DE3B7D"/>
    <w:rsid w:val="00DF7791"/>
    <w:rsid w:val="00E038D7"/>
    <w:rsid w:val="00E069A1"/>
    <w:rsid w:val="00E108B2"/>
    <w:rsid w:val="00E17BAA"/>
    <w:rsid w:val="00E20B7E"/>
    <w:rsid w:val="00E215E0"/>
    <w:rsid w:val="00E21ACE"/>
    <w:rsid w:val="00E26C8E"/>
    <w:rsid w:val="00E325D2"/>
    <w:rsid w:val="00E33B4E"/>
    <w:rsid w:val="00E363F3"/>
    <w:rsid w:val="00E45B45"/>
    <w:rsid w:val="00E46978"/>
    <w:rsid w:val="00E51456"/>
    <w:rsid w:val="00E5620E"/>
    <w:rsid w:val="00E651E1"/>
    <w:rsid w:val="00E6670F"/>
    <w:rsid w:val="00E75F5A"/>
    <w:rsid w:val="00E840F9"/>
    <w:rsid w:val="00E85B0B"/>
    <w:rsid w:val="00E8638A"/>
    <w:rsid w:val="00E9126B"/>
    <w:rsid w:val="00E94710"/>
    <w:rsid w:val="00E95EED"/>
    <w:rsid w:val="00E97743"/>
    <w:rsid w:val="00EA0947"/>
    <w:rsid w:val="00EA2991"/>
    <w:rsid w:val="00EA2DB6"/>
    <w:rsid w:val="00EA4289"/>
    <w:rsid w:val="00EA61B3"/>
    <w:rsid w:val="00EC310C"/>
    <w:rsid w:val="00EC5921"/>
    <w:rsid w:val="00EC6D07"/>
    <w:rsid w:val="00EC7FD7"/>
    <w:rsid w:val="00ED4F12"/>
    <w:rsid w:val="00ED4FAE"/>
    <w:rsid w:val="00ED67A9"/>
    <w:rsid w:val="00ED6A14"/>
    <w:rsid w:val="00EE085E"/>
    <w:rsid w:val="00EE64CD"/>
    <w:rsid w:val="00EE796C"/>
    <w:rsid w:val="00EF2E09"/>
    <w:rsid w:val="00EF6531"/>
    <w:rsid w:val="00EF723F"/>
    <w:rsid w:val="00F005DF"/>
    <w:rsid w:val="00F00C4C"/>
    <w:rsid w:val="00F015F4"/>
    <w:rsid w:val="00F0628F"/>
    <w:rsid w:val="00F06D46"/>
    <w:rsid w:val="00F26530"/>
    <w:rsid w:val="00F3007A"/>
    <w:rsid w:val="00F30838"/>
    <w:rsid w:val="00F32514"/>
    <w:rsid w:val="00F40301"/>
    <w:rsid w:val="00F4092D"/>
    <w:rsid w:val="00F44B31"/>
    <w:rsid w:val="00F47667"/>
    <w:rsid w:val="00F5185D"/>
    <w:rsid w:val="00F62E87"/>
    <w:rsid w:val="00F6303D"/>
    <w:rsid w:val="00F643D9"/>
    <w:rsid w:val="00F65349"/>
    <w:rsid w:val="00F6685F"/>
    <w:rsid w:val="00F66CF7"/>
    <w:rsid w:val="00F7081E"/>
    <w:rsid w:val="00F7160C"/>
    <w:rsid w:val="00F71747"/>
    <w:rsid w:val="00F7321A"/>
    <w:rsid w:val="00F762ED"/>
    <w:rsid w:val="00F95525"/>
    <w:rsid w:val="00FA3967"/>
    <w:rsid w:val="00FA6B26"/>
    <w:rsid w:val="00FA6B82"/>
    <w:rsid w:val="00FB0D7B"/>
    <w:rsid w:val="00FB0DA3"/>
    <w:rsid w:val="00FB17FC"/>
    <w:rsid w:val="00FD3C4B"/>
    <w:rsid w:val="00FD3F62"/>
    <w:rsid w:val="00FE025D"/>
    <w:rsid w:val="00FE71B9"/>
    <w:rsid w:val="00FF1D5B"/>
    <w:rsid w:val="00FF45FD"/>
    <w:rsid w:val="00FF603C"/>
    <w:rsid w:val="00FF7FE1"/>
    <w:rsid w:val="01E77583"/>
    <w:rsid w:val="029C2C22"/>
    <w:rsid w:val="04C64E6C"/>
    <w:rsid w:val="068E71DC"/>
    <w:rsid w:val="07A35203"/>
    <w:rsid w:val="0B2302FE"/>
    <w:rsid w:val="0BEB1430"/>
    <w:rsid w:val="0DC43984"/>
    <w:rsid w:val="0DE5301E"/>
    <w:rsid w:val="0E5F3830"/>
    <w:rsid w:val="10496040"/>
    <w:rsid w:val="104E3ED5"/>
    <w:rsid w:val="10EC1B5C"/>
    <w:rsid w:val="122F48F9"/>
    <w:rsid w:val="124B6F0D"/>
    <w:rsid w:val="132E544F"/>
    <w:rsid w:val="137D666A"/>
    <w:rsid w:val="14437ED4"/>
    <w:rsid w:val="168F6790"/>
    <w:rsid w:val="16925E66"/>
    <w:rsid w:val="178B5F6B"/>
    <w:rsid w:val="18BE40C1"/>
    <w:rsid w:val="199003CA"/>
    <w:rsid w:val="19A85872"/>
    <w:rsid w:val="1A372380"/>
    <w:rsid w:val="1A7D2A42"/>
    <w:rsid w:val="1D8765D8"/>
    <w:rsid w:val="1DA7733E"/>
    <w:rsid w:val="1E6D6267"/>
    <w:rsid w:val="1FEE3883"/>
    <w:rsid w:val="203E00F2"/>
    <w:rsid w:val="22741C8E"/>
    <w:rsid w:val="22D118C9"/>
    <w:rsid w:val="23FD26DD"/>
    <w:rsid w:val="24647429"/>
    <w:rsid w:val="2559771E"/>
    <w:rsid w:val="261F2B66"/>
    <w:rsid w:val="26F52546"/>
    <w:rsid w:val="27AB1537"/>
    <w:rsid w:val="28BC1FA2"/>
    <w:rsid w:val="2C0017F9"/>
    <w:rsid w:val="2C2B2898"/>
    <w:rsid w:val="2CA333D3"/>
    <w:rsid w:val="2DE461E5"/>
    <w:rsid w:val="2E025998"/>
    <w:rsid w:val="2ED60E94"/>
    <w:rsid w:val="2F0F0FEF"/>
    <w:rsid w:val="2FA22422"/>
    <w:rsid w:val="30234F4F"/>
    <w:rsid w:val="304E713F"/>
    <w:rsid w:val="30935187"/>
    <w:rsid w:val="30AA4BD5"/>
    <w:rsid w:val="30C75B15"/>
    <w:rsid w:val="32045337"/>
    <w:rsid w:val="340C6EA7"/>
    <w:rsid w:val="355863BE"/>
    <w:rsid w:val="360C62D3"/>
    <w:rsid w:val="36163829"/>
    <w:rsid w:val="37380BF1"/>
    <w:rsid w:val="382A47E7"/>
    <w:rsid w:val="39A37070"/>
    <w:rsid w:val="3A704214"/>
    <w:rsid w:val="3C42176D"/>
    <w:rsid w:val="3CAA7D3F"/>
    <w:rsid w:val="3CD233B8"/>
    <w:rsid w:val="3CFC0D61"/>
    <w:rsid w:val="3D112E42"/>
    <w:rsid w:val="3E9D2ACE"/>
    <w:rsid w:val="3F65735C"/>
    <w:rsid w:val="3F9D3DF5"/>
    <w:rsid w:val="40427022"/>
    <w:rsid w:val="42FC39F9"/>
    <w:rsid w:val="43304F8D"/>
    <w:rsid w:val="43DB318B"/>
    <w:rsid w:val="450A5941"/>
    <w:rsid w:val="450B17A9"/>
    <w:rsid w:val="4543131B"/>
    <w:rsid w:val="45E1211A"/>
    <w:rsid w:val="497A0453"/>
    <w:rsid w:val="499C08E4"/>
    <w:rsid w:val="49E84E44"/>
    <w:rsid w:val="4B407C77"/>
    <w:rsid w:val="4F4269FF"/>
    <w:rsid w:val="4F900889"/>
    <w:rsid w:val="50552F48"/>
    <w:rsid w:val="510222AC"/>
    <w:rsid w:val="517757E2"/>
    <w:rsid w:val="53425C65"/>
    <w:rsid w:val="53EC6B96"/>
    <w:rsid w:val="54500A8B"/>
    <w:rsid w:val="54BF3FB7"/>
    <w:rsid w:val="55683662"/>
    <w:rsid w:val="558E2064"/>
    <w:rsid w:val="57AD1170"/>
    <w:rsid w:val="584510B3"/>
    <w:rsid w:val="58CA7DEC"/>
    <w:rsid w:val="599B116B"/>
    <w:rsid w:val="5B6C07B7"/>
    <w:rsid w:val="5B6E048C"/>
    <w:rsid w:val="5E1A2947"/>
    <w:rsid w:val="60C85D9D"/>
    <w:rsid w:val="617E3FFA"/>
    <w:rsid w:val="61E274B1"/>
    <w:rsid w:val="63323BE4"/>
    <w:rsid w:val="63705059"/>
    <w:rsid w:val="656D728B"/>
    <w:rsid w:val="65B850DE"/>
    <w:rsid w:val="65BA023F"/>
    <w:rsid w:val="65CD4F15"/>
    <w:rsid w:val="677B253D"/>
    <w:rsid w:val="681000B9"/>
    <w:rsid w:val="6825218D"/>
    <w:rsid w:val="682D60D1"/>
    <w:rsid w:val="686829B4"/>
    <w:rsid w:val="698D3AE3"/>
    <w:rsid w:val="69B71CE2"/>
    <w:rsid w:val="6B4A50BA"/>
    <w:rsid w:val="6BBA30B1"/>
    <w:rsid w:val="6D0D7D69"/>
    <w:rsid w:val="6D67451A"/>
    <w:rsid w:val="6DD9C0EF"/>
    <w:rsid w:val="6E544AAE"/>
    <w:rsid w:val="6F191341"/>
    <w:rsid w:val="704B1ADE"/>
    <w:rsid w:val="70B4590C"/>
    <w:rsid w:val="719D1C58"/>
    <w:rsid w:val="74212548"/>
    <w:rsid w:val="74BA42F9"/>
    <w:rsid w:val="74F94CFE"/>
    <w:rsid w:val="75C312BE"/>
    <w:rsid w:val="77197A82"/>
    <w:rsid w:val="77A930D6"/>
    <w:rsid w:val="7A446993"/>
    <w:rsid w:val="7AAA74A6"/>
    <w:rsid w:val="7ACC6AA1"/>
    <w:rsid w:val="7DBB5E68"/>
    <w:rsid w:val="7DCD2B2A"/>
    <w:rsid w:val="7DD339A2"/>
    <w:rsid w:val="7F2E3DEF"/>
    <w:rsid w:val="7FCF64C5"/>
    <w:rsid w:val="7FF15D55"/>
    <w:rsid w:val="CC7824DA"/>
    <w:rsid w:val="EF3B491F"/>
    <w:rsid w:val="EF4977CE"/>
    <w:rsid w:val="F3EF85F2"/>
    <w:rsid w:val="F4FAEF8C"/>
    <w:rsid w:val="FFDA2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jc w:val="center"/>
    </w:pPr>
    <w:rPr>
      <w:rFonts w:ascii="华文中宋" w:eastAsia="华文中宋"/>
      <w:sz w:val="44"/>
      <w:szCs w:val="24"/>
    </w:rPr>
  </w:style>
  <w:style w:type="paragraph" w:styleId="4">
    <w:name w:val="Body Text Indent"/>
    <w:basedOn w:val="1"/>
    <w:qFormat/>
    <w:uiPriority w:val="0"/>
    <w:pPr>
      <w:spacing w:line="600" w:lineRule="exact"/>
      <w:ind w:firstLine="641" w:firstLineChars="200"/>
    </w:pPr>
    <w:rPr>
      <w:rFonts w:ascii="仿宋_GB2312" w:eastAsia="仿宋_GB2312"/>
      <w:b/>
      <w:bCs/>
      <w:sz w:val="32"/>
    </w:rPr>
  </w:style>
  <w:style w:type="paragraph" w:styleId="5">
    <w:name w:val="Date"/>
    <w:basedOn w:val="1"/>
    <w:next w:val="1"/>
    <w:qFormat/>
    <w:uiPriority w:val="0"/>
    <w:rPr>
      <w:rFonts w:eastAsia="仿宋_GB2312"/>
      <w:b/>
      <w:sz w:val="30"/>
    </w:rPr>
  </w:style>
  <w:style w:type="paragraph" w:styleId="6">
    <w:name w:val="Body Text Indent 2"/>
    <w:basedOn w:val="1"/>
    <w:qFormat/>
    <w:uiPriority w:val="0"/>
    <w:pPr>
      <w:adjustRightInd w:val="0"/>
      <w:snapToGrid w:val="0"/>
      <w:spacing w:line="540" w:lineRule="exact"/>
      <w:ind w:firstLine="640" w:firstLineChars="2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2"/>
    <w:next w:val="2"/>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annotation reference"/>
    <w:qFormat/>
    <w:uiPriority w:val="0"/>
    <w:rPr>
      <w:sz w:val="21"/>
      <w:szCs w:val="21"/>
    </w:rPr>
  </w:style>
  <w:style w:type="paragraph" w:styleId="17">
    <w:name w:val="List Paragraph"/>
    <w:basedOn w:val="1"/>
    <w:qFormat/>
    <w:uiPriority w:val="99"/>
    <w:pPr>
      <w:ind w:firstLine="420" w:firstLineChars="200"/>
    </w:pPr>
  </w:style>
  <w:style w:type="paragraph" w:customStyle="1" w:styleId="18">
    <w:name w:val="正文1"/>
    <w:qFormat/>
    <w:uiPriority w:val="0"/>
    <w:pPr>
      <w:spacing w:line="555" w:lineRule="atLeast"/>
      <w:ind w:firstLine="623"/>
      <w:jc w:val="both"/>
      <w:textAlignment w:val="baseline"/>
    </w:pPr>
    <w:rPr>
      <w:rFonts w:ascii="Calibri" w:hAnsi="Calibri" w:eastAsia="仿宋_GB2312" w:cs="Times New Roman"/>
      <w:color w:val="000000"/>
      <w:sz w:val="31"/>
      <w:szCs w:val="22"/>
      <w:lang w:val="en-US" w:eastAsia="zh-CN" w:bidi="ar-SA"/>
    </w:rPr>
  </w:style>
  <w:style w:type="character" w:customStyle="1" w:styleId="19">
    <w:name w:val="批注文字 Char"/>
    <w:link w:val="2"/>
    <w:qFormat/>
    <w:uiPriority w:val="0"/>
    <w:rPr>
      <w:kern w:val="2"/>
      <w:sz w:val="21"/>
    </w:rPr>
  </w:style>
  <w:style w:type="character" w:customStyle="1" w:styleId="20">
    <w:name w:val="批注主题 Char"/>
    <w:link w:val="11"/>
    <w:qFormat/>
    <w:uiPriority w:val="0"/>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Company>
  <Pages>4</Pages>
  <Words>1804</Words>
  <Characters>1854</Characters>
  <Lines>14</Lines>
  <Paragraphs>3</Paragraphs>
  <TotalTime>107</TotalTime>
  <ScaleCrop>false</ScaleCrop>
  <LinksUpToDate>false</LinksUpToDate>
  <CharactersWithSpaces>1855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2023-07-01T17:47:00Z</dcterms:created>
  <dc:creator>lwy</dc:creator>
  <cp:lastModifiedBy>黎健瑜</cp:lastModifiedBy>
  <cp:lastPrinted>2023-03-08T18:17:00Z</cp:lastPrinted>
  <dcterms:modified xsi:type="dcterms:W3CDTF">2025-02-28T08:06:57Z</dcterms:modified>
  <dc:title>新府〔2001〕2号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5D2D20A6722C47F99A1809EF01E81063_13</vt:lpwstr>
  </property>
  <property fmtid="{D5CDD505-2E9C-101B-9397-08002B2CF9AE}" pid="4" name="KSOTemplateDocerSaveRecord">
    <vt:lpwstr>eyJoZGlkIjoiMWZkOTM2NmZlOTgyYjFhYzczMzE1NDMwMjM5OTVlOTQiLCJ1c2VySWQiOiIxNjE3MzQ1MDgzIn0=</vt:lpwstr>
  </property>
</Properties>
</file>