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ACF6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ascii="黑体" w:hAnsi="黑体" w:eastAsia="黑体"/>
          <w:sz w:val="32"/>
          <w:szCs w:val="32"/>
        </w:rPr>
      </w:pPr>
    </w:p>
    <w:p w14:paraId="6A339D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ascii="宋体" w:hAnsi="宋体" w:eastAsia="宋体"/>
          <w:sz w:val="32"/>
          <w:szCs w:val="32"/>
        </w:rPr>
      </w:pPr>
    </w:p>
    <w:p w14:paraId="38B66A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ascii="黑体" w:hAnsi="黑体" w:eastAsia="黑体"/>
          <w:sz w:val="32"/>
          <w:szCs w:val="32"/>
        </w:rPr>
      </w:pPr>
    </w:p>
    <w:p w14:paraId="597FEB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ascii="黑体" w:hAnsi="黑体" w:eastAsia="黑体"/>
          <w:sz w:val="32"/>
          <w:szCs w:val="32"/>
        </w:rPr>
      </w:pPr>
    </w:p>
    <w:p w14:paraId="79EA59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ascii="黑体" w:hAnsi="黑体" w:eastAsia="黑体"/>
          <w:sz w:val="32"/>
          <w:szCs w:val="32"/>
        </w:rPr>
      </w:pPr>
    </w:p>
    <w:p w14:paraId="6054FD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ascii="黑体" w:hAnsi="黑体" w:eastAsia="黑体"/>
          <w:sz w:val="32"/>
          <w:szCs w:val="32"/>
        </w:rPr>
      </w:pPr>
    </w:p>
    <w:p w14:paraId="0F0306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ascii="黑体" w:hAnsi="黑体" w:eastAsia="黑体"/>
          <w:sz w:val="32"/>
          <w:szCs w:val="32"/>
        </w:rPr>
      </w:pPr>
    </w:p>
    <w:p w14:paraId="7C28F6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sz w:val="32"/>
          <w:szCs w:val="32"/>
        </w:rPr>
      </w:pP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align>center</wp:align>
                </wp:positionH>
                <wp:positionV relativeFrom="page">
                  <wp:posOffset>2573655</wp:posOffset>
                </wp:positionV>
                <wp:extent cx="5255895" cy="1331595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5895" cy="1331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F51E6B5">
                            <w:pPr>
                              <w:spacing w:line="1240" w:lineRule="exact"/>
                              <w:jc w:val="distribute"/>
                              <w:rPr>
                                <w:rFonts w:ascii="方正小标宋简体" w:eastAsia="方正小标宋简体"/>
                                <w:color w:val="FF0000"/>
                                <w:w w:val="55"/>
                                <w:sz w:val="114"/>
                                <w:szCs w:val="114"/>
                              </w:rPr>
                            </w:pPr>
                            <w:r>
                              <w:rPr>
                                <w:rFonts w:hint="eastAsia" w:ascii="方正小标宋简体" w:hAnsi="Times New Roman" w:eastAsia="方正小标宋简体"/>
                                <w:color w:val="FF0000"/>
                                <w:w w:val="55"/>
                                <w:sz w:val="114"/>
                                <w:szCs w:val="114"/>
                              </w:rPr>
                              <w:t>江门市新会区农业农村局文件</w:t>
                            </w:r>
                          </w:p>
                        </w:txbxContent>
                      </wps:txbx>
                      <wps:bodyPr vert="horz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top:202.65pt;height:104.85pt;width:413.85pt;mso-position-horizontal:center;mso-position-vertical-relative:page;z-index:-251657216;mso-width-relative:page;mso-height-relative:page;" filled="f" stroked="f" coordsize="21600,21600" o:gfxdata="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NUcNz7YAAAACAEAAA8AAAAAAAAAAQAg&#10;AAAAIgAAAGRycy9kb3ducmV2LnhtbFBLAQIUABQAAAAIAIdO4kBd0dk91QEAAKYDAAAOAAAAAAAA&#10;AAEAIAAAACcBAABkcnMvZTJvRG9jLnhtbFBLBQYAAAAABgAGAFkBAABu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1F51E6B5">
                      <w:pPr>
                        <w:spacing w:line="1240" w:lineRule="exact"/>
                        <w:jc w:val="distribute"/>
                        <w:rPr>
                          <w:rFonts w:ascii="方正小标宋简体" w:eastAsia="方正小标宋简体"/>
                          <w:color w:val="FF0000"/>
                          <w:w w:val="55"/>
                          <w:sz w:val="114"/>
                          <w:szCs w:val="114"/>
                        </w:rPr>
                      </w:pPr>
                      <w:r>
                        <w:rPr>
                          <w:rFonts w:hint="eastAsia" w:ascii="方正小标宋简体" w:hAnsi="Times New Roman" w:eastAsia="方正小标宋简体"/>
                          <w:color w:val="FF0000"/>
                          <w:w w:val="55"/>
                          <w:sz w:val="114"/>
                          <w:szCs w:val="114"/>
                        </w:rPr>
                        <w:t>江门市新会区农业农村局文件</w:t>
                      </w:r>
                    </w:p>
                  </w:txbxContent>
                </v:textbox>
              </v:shape>
            </w:pict>
          </mc:Fallback>
        </mc:AlternateContent>
      </w:r>
    </w:p>
    <w:p w14:paraId="0144E9B2">
      <w:pPr>
        <w:keepNext w:val="0"/>
        <w:keepLines w:val="0"/>
        <w:pageBreakBefore w:val="0"/>
        <w:widowControl w:val="0"/>
        <w:tabs>
          <w:tab w:val="left" w:pos="22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sz w:val="32"/>
          <w:szCs w:val="32"/>
        </w:rPr>
      </w:pPr>
    </w:p>
    <w:p w14:paraId="0BD2F7F3">
      <w:pPr>
        <w:pStyle w:val="2"/>
      </w:pPr>
    </w:p>
    <w:p w14:paraId="4609DD82"/>
    <w:p w14:paraId="5A9FCC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新农农〔202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103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 w14:paraId="035EC6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/>
          <w:szCs w:val="21"/>
        </w:rPr>
      </w:pP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>
                <wp:simplePos x="0" y="0"/>
                <wp:positionH relativeFrom="column">
                  <wp:posOffset>-635</wp:posOffset>
                </wp:positionH>
                <wp:positionV relativeFrom="page">
                  <wp:posOffset>1332230</wp:posOffset>
                </wp:positionV>
                <wp:extent cx="800100" cy="28829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66181A0">
                            <w:pPr>
                              <w:rPr>
                                <w:rFonts w:ascii="黑体" w:hAnsi="黑体" w:eastAsia="黑体"/>
                                <w:szCs w:val="32"/>
                              </w:rPr>
                            </w:pPr>
                          </w:p>
                        </w:txbxContent>
                      </wps:txbx>
                      <wps:bodyPr vert="horz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0.05pt;margin-top:104.9pt;height:22.7pt;width:63pt;mso-position-vertical-relative:page;z-index:251660288;mso-width-relative:page;mso-height-relative:page;" filled="f" stroked="f" coordsize="21600,21600" o:gfxdata="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BaSqOm1wAAAAkBAAAPAAAAAAAAAAEAIAAAACIA&#10;AABkcnMvZG93bnJldi54bWxQSwECFAAUAAAACACHTuJAyd68/NEBAACkAwAADgAAAAAAAAABACAA&#10;AAAmAQAAZHJzL2Uyb0RvYy54bWxQSwUGAAAAAAYABgBZAQAAaQ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366181A0">
                      <w:pPr>
                        <w:rPr>
                          <w:rFonts w:ascii="黑体" w:hAnsi="黑体" w:eastAsia="黑体"/>
                          <w:szCs w:val="3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>
                <wp:simplePos x="0" y="0"/>
                <wp:positionH relativeFrom="column">
                  <wp:posOffset>-635</wp:posOffset>
                </wp:positionH>
                <wp:positionV relativeFrom="page">
                  <wp:posOffset>4349115</wp:posOffset>
                </wp:positionV>
                <wp:extent cx="5615940" cy="0"/>
                <wp:effectExtent l="0" t="7620" r="0" b="8255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05pt;margin-top:342.45pt;height:0pt;width:442.2pt;mso-position-vertical-relative:page;z-index:251661312;mso-width-relative:page;mso-height-relative:page;" filled="f" stroked="t" coordsize="21600,21600" o:gfxdata="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F6kfRHXAAAACQEAAA8AAAAAAAAAAQAgAAAAIgAAAGRycy9kb3ducmV2&#10;LnhtbFBLAQIUABQAAAAIAIdO4kCgKpPw/QEAAPMDAAAOAAAAAAAAAAEAIAAAACYBAABkcnMvZTJv&#10;RG9jLnhtbFBLBQYAAAAABgAGAFkBAACVBQAAAAA=&#10;">
                <v:fill on="f" focussize="0,0"/>
                <v:stroke weight="1.25pt" color="#FF0000" joinstyle="round"/>
                <v:imagedata o:title=""/>
                <o:lock v:ext="edit" aspectratio="f"/>
                <w10:anchorlock/>
              </v:line>
            </w:pict>
          </mc:Fallback>
        </mc:AlternateContent>
      </w:r>
    </w:p>
    <w:p w14:paraId="4CAB8B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val="zh-CN"/>
        </w:rPr>
      </w:pPr>
      <w:r>
        <w:rPr>
          <w:rFonts w:hint="eastAsia" w:ascii="方正小标宋简体" w:hAnsi="黑体" w:eastAsia="方正小标宋简体" w:cs="宋体"/>
          <w:sz w:val="44"/>
          <w:szCs w:val="44"/>
        </w:rPr>
        <w:t>关于印发</w:t>
      </w:r>
      <w:r>
        <w:rPr>
          <w:rFonts w:hint="eastAsia" w:ascii="方正小标宋简体" w:hAnsi="黑体" w:eastAsia="方正小标宋简体" w:cs="方正小标宋简体"/>
          <w:sz w:val="44"/>
          <w:szCs w:val="44"/>
        </w:rPr>
        <w:t>《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val="zh-CN"/>
        </w:rPr>
        <w:t>新会区2023年中央农业资源及生态保护补助资金（轮作休耕）项目2024年</w:t>
      </w:r>
    </w:p>
    <w:p w14:paraId="4A17C6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黑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val="zh-CN"/>
        </w:rPr>
        <w:t>实施方案</w:t>
      </w:r>
      <w:r>
        <w:rPr>
          <w:rFonts w:hint="eastAsia" w:ascii="方正小标宋简体" w:hAnsi="黑体" w:eastAsia="方正小标宋简体" w:cs="方正小标宋简体"/>
          <w:sz w:val="44"/>
          <w:szCs w:val="44"/>
        </w:rPr>
        <w:t>》的通知</w:t>
      </w:r>
    </w:p>
    <w:p w14:paraId="196281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ascii="仿宋" w:hAnsi="仿宋" w:cs="宋体"/>
          <w:color w:val="000000"/>
          <w:kern w:val="0"/>
          <w:szCs w:val="32"/>
        </w:rPr>
      </w:pPr>
    </w:p>
    <w:p w14:paraId="7C41EB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各镇（街）政府（办事处）</w:t>
      </w:r>
      <w:r>
        <w:rPr>
          <w:rFonts w:hint="eastAsia" w:ascii="仿宋_GB2312" w:hAnsi="仿宋_GB2312" w:eastAsia="仿宋_GB2312" w:cs="仿宋_GB2312"/>
        </w:rPr>
        <w:t>：</w:t>
      </w:r>
    </w:p>
    <w:p w14:paraId="4F5483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业经区人民政府同意，</w:t>
      </w:r>
      <w:r>
        <w:rPr>
          <w:rFonts w:hint="eastAsia" w:ascii="仿宋_GB2312" w:hAnsi="仿宋_GB2312" w:eastAsia="仿宋_GB2312" w:cs="仿宋_GB2312"/>
        </w:rPr>
        <w:t>现</w:t>
      </w:r>
      <w:r>
        <w:rPr>
          <w:rFonts w:hint="eastAsia" w:ascii="仿宋_GB2312" w:hAnsi="仿宋_GB2312" w:eastAsia="仿宋_GB2312" w:cs="仿宋_GB2312"/>
          <w:lang w:val="en-US" w:eastAsia="zh-CN"/>
        </w:rPr>
        <w:t>将</w:t>
      </w:r>
      <w:r>
        <w:rPr>
          <w:rFonts w:hint="eastAsia" w:ascii="仿宋_GB2312" w:hAnsi="仿宋_GB2312" w:eastAsia="仿宋_GB2312" w:cs="仿宋_GB2312"/>
        </w:rPr>
        <w:t>《</w:t>
      </w:r>
      <w:r>
        <w:rPr>
          <w:rFonts w:hint="eastAsia" w:ascii="仿宋_GB2312" w:hAnsi="仿宋_GB2312" w:eastAsia="仿宋_GB2312" w:cs="仿宋_GB2312"/>
          <w:lang w:val="zh-CN"/>
        </w:rPr>
        <w:t>新会区2023年中央农业资源及生态保护补助资金（轮作休耕）项目2024年实施方案</w:t>
      </w:r>
      <w:r>
        <w:rPr>
          <w:rFonts w:hint="eastAsia" w:ascii="仿宋_GB2312" w:hAnsi="仿宋_GB2312" w:eastAsia="仿宋_GB2312" w:cs="仿宋_GB2312"/>
        </w:rPr>
        <w:t>》印发给你们，请</w:t>
      </w:r>
      <w:r>
        <w:rPr>
          <w:rFonts w:hint="eastAsia" w:ascii="仿宋_GB2312" w:hAnsi="仿宋_GB2312" w:eastAsia="仿宋_GB2312" w:cs="仿宋_GB2312"/>
          <w:highlight w:val="none"/>
          <w:lang w:eastAsia="zh-CN"/>
        </w:rPr>
        <w:t>认真</w:t>
      </w:r>
      <w:r>
        <w:rPr>
          <w:rFonts w:hint="eastAsia" w:ascii="仿宋_GB2312" w:hAnsi="仿宋_GB2312" w:eastAsia="仿宋_GB2312" w:cs="仿宋_GB2312"/>
          <w:highlight w:val="none"/>
        </w:rPr>
        <w:t>贯彻执行</w:t>
      </w:r>
      <w:r>
        <w:rPr>
          <w:rFonts w:hint="eastAsia" w:ascii="仿宋_GB2312" w:hAnsi="仿宋_GB2312" w:eastAsia="仿宋_GB2312" w:cs="仿宋_GB231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highlight w:val="none"/>
        </w:rPr>
        <w:t>并请各镇（街）</w:t>
      </w:r>
      <w:r>
        <w:rPr>
          <w:rFonts w:hint="eastAsia" w:ascii="仿宋_GB2312" w:hAnsi="仿宋_GB2312" w:eastAsia="仿宋_GB2312" w:cs="仿宋_GB2312"/>
          <w:highlight w:val="none"/>
          <w:lang w:eastAsia="zh-CN"/>
        </w:rPr>
        <w:t>将</w:t>
      </w:r>
      <w:r>
        <w:rPr>
          <w:rFonts w:hint="eastAsia" w:ascii="仿宋_GB2312" w:hAnsi="仿宋_GB2312" w:eastAsia="仿宋_GB2312" w:cs="仿宋_GB2312"/>
          <w:kern w:val="0"/>
          <w:szCs w:val="32"/>
          <w:highlight w:val="none"/>
        </w:rPr>
        <w:t>本辖区</w:t>
      </w:r>
      <w:r>
        <w:rPr>
          <w:rFonts w:hint="eastAsia" w:ascii="仿宋_GB2312" w:hAnsi="仿宋_GB2312" w:eastAsia="仿宋_GB2312" w:cs="仿宋_GB2312"/>
          <w:highlight w:val="none"/>
          <w:lang w:eastAsia="zh-CN"/>
        </w:rPr>
        <w:t>登记遴选推荐</w:t>
      </w:r>
      <w:r>
        <w:rPr>
          <w:rFonts w:hint="eastAsia" w:ascii="仿宋_GB2312" w:hAnsi="仿宋_GB2312" w:eastAsia="仿宋_GB2312" w:cs="仿宋_GB2312"/>
          <w:highlight w:val="none"/>
        </w:rPr>
        <w:t>资料（包括《方案》中附件1-</w:t>
      </w:r>
      <w:r>
        <w:rPr>
          <w:rFonts w:hint="eastAsia" w:ascii="仿宋_GB2312" w:hAnsi="仿宋_GB2312" w:eastAsia="仿宋_GB2312" w:cs="仿宋_GB231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highlight w:val="none"/>
        </w:rPr>
        <w:t>及村、镇两级公示图片），于</w:t>
      </w:r>
      <w:r>
        <w:rPr>
          <w:rFonts w:hint="eastAsia" w:ascii="仿宋_GB2312" w:hAnsi="仿宋_GB2312" w:eastAsia="仿宋_GB2312" w:cs="仿宋_GB2312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highlight w:val="none"/>
        </w:rPr>
        <w:t>月</w:t>
      </w:r>
      <w:r>
        <w:rPr>
          <w:rFonts w:hint="eastAsia" w:ascii="仿宋_GB2312" w:hAnsi="仿宋_GB2312" w:eastAsia="仿宋_GB2312" w:cs="仿宋_GB2312"/>
          <w:highlight w:val="none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highlight w:val="none"/>
        </w:rPr>
        <w:t>日前报送至区农业农村局种植业管理股</w:t>
      </w:r>
      <w:r>
        <w:rPr>
          <w:rFonts w:hint="eastAsia" w:ascii="仿宋_GB2312" w:hAnsi="仿宋_GB2312" w:eastAsia="仿宋_GB2312" w:cs="仿宋_GB2312"/>
          <w:highlight w:val="none"/>
          <w:lang w:eastAsia="zh-CN"/>
        </w:rPr>
        <w:t>。</w:t>
      </w:r>
    </w:p>
    <w:p w14:paraId="74EC81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Cs w:val="32"/>
        </w:rPr>
      </w:pPr>
    </w:p>
    <w:p w14:paraId="1F2408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Cs w:val="32"/>
          <w:lang w:val="en-US" w:eastAsia="zh-CN"/>
        </w:rPr>
      </w:pPr>
    </w:p>
    <w:p w14:paraId="6F7FDADD">
      <w:pPr>
        <w:pStyle w:val="2"/>
        <w:rPr>
          <w:rFonts w:hint="eastAsia"/>
          <w:lang w:val="en-US" w:eastAsia="zh-CN"/>
        </w:rPr>
      </w:pPr>
    </w:p>
    <w:p w14:paraId="796EAD30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 xml:space="preserve">（此页无正文） </w:t>
      </w:r>
    </w:p>
    <w:p w14:paraId="647C8A03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Cs w:val="32"/>
          <w:lang w:val="en-US" w:eastAsia="zh-CN"/>
        </w:rPr>
      </w:pPr>
    </w:p>
    <w:p w14:paraId="07F10F38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Cs w:val="32"/>
          <w:lang w:val="en-US" w:eastAsia="zh-CN"/>
        </w:rPr>
      </w:pPr>
    </w:p>
    <w:p w14:paraId="6B0B3EFE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Cs w:val="32"/>
        </w:rPr>
        <w:t>江门市新会区农业农村局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 xml:space="preserve">    </w:t>
      </w:r>
    </w:p>
    <w:p w14:paraId="3B6AC273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Cs w:val="32"/>
        </w:rPr>
        <w:t>202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Cs w:val="32"/>
        </w:rPr>
        <w:t>年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Cs w:val="32"/>
        </w:rPr>
        <w:t>月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szCs w:val="32"/>
        </w:rPr>
        <w:t>日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 xml:space="preserve">       </w:t>
      </w:r>
    </w:p>
    <w:p w14:paraId="2A1716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Cs w:val="32"/>
        </w:rPr>
      </w:pPr>
    </w:p>
    <w:p w14:paraId="3EEAD9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Cs w:val="32"/>
        </w:rPr>
      </w:pPr>
    </w:p>
    <w:p w14:paraId="369A54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(联系人：梁湘怡，联系电话：6662996）</w:t>
      </w:r>
    </w:p>
    <w:p w14:paraId="2E7261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cs="宋体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</w:p>
    <w:p w14:paraId="530C45D4">
      <w:pPr>
        <w:widowControl/>
        <w:spacing w:line="560" w:lineRule="exact"/>
        <w:rPr>
          <w:rFonts w:hint="eastAsia" w:ascii="仿宋" w:hAnsi="仿宋" w:cs="宋体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</w:p>
    <w:p w14:paraId="62A41048">
      <w:pPr>
        <w:widowControl/>
        <w:spacing w:line="560" w:lineRule="exact"/>
        <w:rPr>
          <w:rFonts w:hint="eastAsia" w:ascii="仿宋" w:hAnsi="仿宋" w:cs="宋体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</w:p>
    <w:p w14:paraId="5EF6EF09">
      <w:pPr>
        <w:widowControl/>
        <w:spacing w:line="560" w:lineRule="exact"/>
        <w:rPr>
          <w:rFonts w:hint="eastAsia" w:ascii="仿宋" w:hAnsi="仿宋" w:cs="宋体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</w:p>
    <w:p w14:paraId="18ECC8FD">
      <w:pPr>
        <w:widowControl/>
        <w:spacing w:line="560" w:lineRule="exact"/>
        <w:rPr>
          <w:rFonts w:hint="eastAsia" w:ascii="仿宋" w:hAnsi="仿宋" w:cs="宋体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</w:p>
    <w:p w14:paraId="4A1DECF0">
      <w:pPr>
        <w:widowControl/>
        <w:spacing w:line="560" w:lineRule="exact"/>
        <w:rPr>
          <w:rFonts w:hint="eastAsia" w:ascii="仿宋" w:hAnsi="仿宋" w:cs="宋体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</w:p>
    <w:p w14:paraId="020767F3">
      <w:pPr>
        <w:pStyle w:val="2"/>
        <w:rPr>
          <w:rFonts w:hint="eastAsia" w:ascii="仿宋" w:hAnsi="仿宋" w:cs="宋体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</w:p>
    <w:p w14:paraId="518F841D">
      <w:pPr>
        <w:rPr>
          <w:rFonts w:hint="eastAsia" w:ascii="仿宋" w:hAnsi="仿宋" w:cs="宋体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</w:p>
    <w:p w14:paraId="0BB0C060">
      <w:pPr>
        <w:pStyle w:val="2"/>
        <w:rPr>
          <w:rFonts w:hint="eastAsia" w:ascii="仿宋" w:hAnsi="仿宋" w:cs="宋体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</w:p>
    <w:p w14:paraId="652F3CC5">
      <w:pPr>
        <w:rPr>
          <w:rFonts w:hint="eastAsia" w:ascii="仿宋" w:hAnsi="仿宋" w:cs="宋体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</w:p>
    <w:p w14:paraId="05FC0E62">
      <w:pPr>
        <w:spacing w:line="600" w:lineRule="exact"/>
        <w:rPr>
          <w:rFonts w:hint="eastAsia" w:ascii="黑体" w:hAnsi="黑体" w:eastAsia="黑体" w:cs="黑体"/>
          <w:szCs w:val="32"/>
        </w:rPr>
      </w:pPr>
    </w:p>
    <w:p w14:paraId="52C0A581">
      <w:pPr>
        <w:spacing w:line="600" w:lineRule="exact"/>
        <w:rPr>
          <w:rFonts w:hint="eastAsia" w:ascii="黑体" w:hAnsi="黑体" w:eastAsia="黑体" w:cs="黑体"/>
          <w:szCs w:val="32"/>
        </w:rPr>
      </w:pPr>
    </w:p>
    <w:p w14:paraId="34A82F1B">
      <w:pPr>
        <w:spacing w:line="600" w:lineRule="exact"/>
        <w:rPr>
          <w:rFonts w:ascii="仿宋_GB2312" w:hAnsi="仿宋_GB2312" w:eastAsia="仿宋_GB2312" w:cs="仿宋_GB2312"/>
          <w:szCs w:val="32"/>
        </w:rPr>
      </w:pPr>
      <w:r>
        <w:rPr>
          <w:rFonts w:hint="eastAsia" w:ascii="黑体" w:hAnsi="黑体" w:eastAsia="黑体" w:cs="黑体"/>
          <w:szCs w:val="32"/>
        </w:rPr>
        <w:t>公开方式</w:t>
      </w:r>
      <w:r>
        <w:rPr>
          <w:rFonts w:hint="eastAsia" w:ascii="仿宋_GB2312" w:hAnsi="仿宋_GB2312" w:eastAsia="仿宋_GB2312" w:cs="仿宋_GB2312"/>
          <w:szCs w:val="32"/>
        </w:rPr>
        <w:t>：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主动</w:t>
      </w:r>
      <w:r>
        <w:rPr>
          <w:rFonts w:hint="eastAsia" w:ascii="仿宋_GB2312" w:hAnsi="仿宋_GB2312" w:eastAsia="仿宋_GB2312" w:cs="仿宋_GB2312"/>
          <w:szCs w:val="32"/>
        </w:rPr>
        <w:t>公开</w:t>
      </w:r>
    </w:p>
    <w:p w14:paraId="4B800F69">
      <w:pPr>
        <w:spacing w:line="600" w:lineRule="exact"/>
        <w:ind w:firstLine="140" w:firstLineChars="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抄送：江门市农业农村局，区府办公室，区财政局。</w:t>
      </w:r>
    </w:p>
    <w:p w14:paraId="19910975">
      <w:pPr>
        <w:pBdr>
          <w:top w:val="single" w:color="auto" w:sz="6" w:space="1"/>
          <w:bottom w:val="single" w:color="auto" w:sz="6" w:space="1"/>
        </w:pBdr>
        <w:spacing w:line="560" w:lineRule="exact"/>
        <w:ind w:firstLine="140" w:firstLineChars="50"/>
        <w:rPr>
          <w:rFonts w:hint="eastAsia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江门市新会区农业农村局办公室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sz w:val="28"/>
          <w:szCs w:val="28"/>
        </w:rPr>
        <w:t>日印发</w:t>
      </w:r>
    </w:p>
    <w:p w14:paraId="736E9AF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40" w:hanging="440" w:hangingChars="100"/>
        <w:jc w:val="left"/>
        <w:textAlignment w:val="auto"/>
        <w:rPr>
          <w:rFonts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val="zh-CN"/>
        </w:rPr>
        <w:t>新会区2023年中央农业资源及生态保护补助资金（轮作休耕）项目2024年实施方案</w:t>
      </w:r>
    </w:p>
    <w:p w14:paraId="0E589C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" w:hAnsi="仿宋" w:cs="宋体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</w:p>
    <w:p w14:paraId="1C8501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34"/>
          <w:rFonts w:hint="eastAsia" w:ascii="仿宋_GB2312" w:hAnsi="仿宋_GB2312" w:eastAsia="仿宋_GB2312" w:cs="仿宋_GB2312"/>
          <w:color w:val="auto"/>
        </w:rPr>
      </w:pPr>
      <w:r>
        <w:rPr>
          <w:rStyle w:val="34"/>
          <w:rFonts w:hint="eastAsia" w:ascii="仿宋_GB2312" w:hAnsi="仿宋_GB2312" w:eastAsia="仿宋_GB2312" w:cs="仿宋_GB2312"/>
          <w:color w:val="auto"/>
        </w:rPr>
        <w:t>根据广东省农业农村厅《关于印发2023年粮油生产保障等项目实施方案的通知》（粤农农函</w:t>
      </w:r>
      <w:r>
        <w:rPr>
          <w:rFonts w:hint="eastAsia" w:ascii="仿宋_GB2312" w:hAnsi="仿宋_GB2312" w:eastAsia="仿宋_GB2312" w:cs="仿宋_GB2312"/>
          <w:sz w:val="32"/>
          <w:szCs w:val="32"/>
        </w:rPr>
        <w:t>〔202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Style w:val="34"/>
          <w:rFonts w:hint="eastAsia" w:ascii="仿宋_GB2312" w:hAnsi="仿宋_GB2312" w:eastAsia="仿宋_GB2312" w:cs="仿宋_GB2312"/>
          <w:color w:val="auto"/>
        </w:rPr>
        <w:t>1192号），江门市农业农村局《关于下达2023年中央农业资源及生态保护补助资金任务清单及绩效目标的通知》和《关于2024年新会区种植用途管控试点项目实施方案（征求意见稿）的复函》等有关文件精神，为</w:t>
      </w:r>
      <w:r>
        <w:rPr>
          <w:rFonts w:hint="eastAsia" w:ascii="仿宋_GB2312" w:hAnsi="仿宋_GB2312" w:eastAsia="仿宋_GB2312" w:cs="仿宋_GB2312"/>
          <w:szCs w:val="32"/>
        </w:rPr>
        <w:t>更好地推进我区开展“双季稻+”轮作（下称双季稻轮作）和完成市下达的增施有机肥任务，增加蔬菜、粮食播种面积，</w:t>
      </w:r>
      <w:r>
        <w:rPr>
          <w:rFonts w:hint="eastAsia" w:ascii="仿宋_GB2312" w:hAnsi="仿宋_GB2312" w:eastAsia="仿宋_GB2312" w:cs="仿宋_GB2312"/>
          <w:kern w:val="0"/>
          <w:szCs w:val="32"/>
        </w:rPr>
        <w:t>保障菜篮子有效供给，确保粮食安全</w:t>
      </w:r>
      <w:r>
        <w:rPr>
          <w:rStyle w:val="34"/>
          <w:rFonts w:hint="eastAsia" w:ascii="仿宋_GB2312" w:hAnsi="仿宋_GB2312" w:eastAsia="仿宋_GB2312" w:cs="仿宋_GB2312"/>
          <w:color w:val="auto"/>
        </w:rPr>
        <w:t>，结合实际，业经区人民政府同意，制定本方案。</w:t>
      </w:r>
    </w:p>
    <w:p w14:paraId="38BBB2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黑体"/>
          <w:bCs/>
          <w:kern w:val="0"/>
          <w:szCs w:val="32"/>
        </w:rPr>
      </w:pPr>
      <w:r>
        <w:rPr>
          <w:rFonts w:hint="eastAsia" w:ascii="黑体" w:hAnsi="黑体" w:eastAsia="黑体" w:cs="黑体"/>
          <w:bCs/>
          <w:kern w:val="0"/>
          <w:szCs w:val="32"/>
        </w:rPr>
        <w:t>一、指导思想</w:t>
      </w:r>
    </w:p>
    <w:p w14:paraId="539AA9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34"/>
          <w:rFonts w:hint="eastAsia" w:ascii="仿宋_GB2312" w:eastAsia="仿宋_GB2312"/>
          <w:color w:val="auto"/>
        </w:rPr>
      </w:pPr>
      <w:r>
        <w:rPr>
          <w:rStyle w:val="34"/>
          <w:rFonts w:hint="eastAsia" w:ascii="仿宋_GB2312" w:eastAsia="仿宋_GB2312"/>
          <w:color w:val="auto"/>
        </w:rPr>
        <w:t>为贯彻落实中央农村工作会议精神，</w:t>
      </w:r>
      <w:r>
        <w:rPr>
          <w:rFonts w:hint="eastAsia" w:ascii="仿宋_GB2312" w:hAnsi="仿宋" w:eastAsia="仿宋_GB2312" w:cs="宋体"/>
          <w:kern w:val="0"/>
          <w:szCs w:val="32"/>
        </w:rPr>
        <w:t>牢固树立新发展理念，深入实施“藏粮于地、藏粮于技”战略，加大政策扶持，瞄准关键薄弱环节，深入实施双季稻轮作示范，持续加力、常抓不懈，探索形成可复制、可推广的耕地轮作组织方式、技术模式和政策框架，加快构建符合我区实际的绿色种植制度，</w:t>
      </w:r>
      <w:r>
        <w:rPr>
          <w:rStyle w:val="34"/>
          <w:rFonts w:hint="eastAsia" w:ascii="仿宋_GB2312" w:eastAsia="仿宋_GB2312"/>
          <w:color w:val="auto"/>
        </w:rPr>
        <w:t>促进绿色种植和农业生态综合治理，推动双季稻+冬种紫云英</w:t>
      </w:r>
      <w:r>
        <w:rPr>
          <w:rStyle w:val="34"/>
          <w:rFonts w:ascii="仿宋_GB2312" w:eastAsia="仿宋_GB2312"/>
          <w:color w:val="auto"/>
        </w:rPr>
        <w:t>、蔬菜</w:t>
      </w:r>
      <w:r>
        <w:rPr>
          <w:rStyle w:val="34"/>
          <w:rFonts w:hint="eastAsia" w:ascii="仿宋_GB2312" w:eastAsia="仿宋_GB2312"/>
          <w:color w:val="auto"/>
        </w:rPr>
        <w:t>和</w:t>
      </w:r>
      <w:r>
        <w:rPr>
          <w:rStyle w:val="34"/>
          <w:rFonts w:ascii="仿宋_GB2312" w:eastAsia="仿宋_GB2312"/>
          <w:color w:val="auto"/>
        </w:rPr>
        <w:t>旱粮</w:t>
      </w:r>
      <w:r>
        <w:rPr>
          <w:rStyle w:val="34"/>
          <w:rFonts w:hint="eastAsia" w:ascii="仿宋_GB2312" w:eastAsia="仿宋_GB2312"/>
          <w:color w:val="auto"/>
        </w:rPr>
        <w:t>等生产高质量发展，</w:t>
      </w:r>
      <w:r>
        <w:rPr>
          <w:rFonts w:hint="eastAsia" w:ascii="仿宋_GB2312" w:hAnsi="仿宋" w:eastAsia="仿宋_GB2312" w:cs="宋体"/>
          <w:kern w:val="0"/>
          <w:szCs w:val="32"/>
        </w:rPr>
        <w:t>保障</w:t>
      </w:r>
      <w:r>
        <w:rPr>
          <w:rFonts w:ascii="仿宋_GB2312" w:hAnsi="仿宋" w:eastAsia="仿宋_GB2312" w:cs="宋体"/>
          <w:kern w:val="0"/>
          <w:szCs w:val="32"/>
        </w:rPr>
        <w:t>菜篮子有效供给</w:t>
      </w:r>
      <w:r>
        <w:rPr>
          <w:rFonts w:hint="eastAsia" w:ascii="仿宋_GB2312" w:hAnsi="仿宋" w:eastAsia="仿宋_GB2312" w:cs="宋体"/>
          <w:kern w:val="0"/>
          <w:szCs w:val="32"/>
        </w:rPr>
        <w:t>，确保</w:t>
      </w:r>
      <w:r>
        <w:rPr>
          <w:rFonts w:ascii="仿宋_GB2312" w:hAnsi="仿宋" w:eastAsia="仿宋_GB2312" w:cs="宋体"/>
          <w:kern w:val="0"/>
          <w:szCs w:val="32"/>
        </w:rPr>
        <w:t>粮食安全</w:t>
      </w:r>
      <w:r>
        <w:rPr>
          <w:rStyle w:val="34"/>
          <w:rFonts w:hint="eastAsia" w:ascii="仿宋_GB2312" w:eastAsia="仿宋_GB2312"/>
          <w:color w:val="auto"/>
        </w:rPr>
        <w:t>。</w:t>
      </w:r>
    </w:p>
    <w:p w14:paraId="1A6D6493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Cs/>
          <w:kern w:val="0"/>
          <w:szCs w:val="32"/>
        </w:rPr>
      </w:pPr>
      <w:r>
        <w:rPr>
          <w:rFonts w:hint="eastAsia" w:ascii="黑体" w:hAnsi="黑体" w:eastAsia="黑体" w:cs="黑体"/>
          <w:bCs/>
          <w:kern w:val="0"/>
          <w:szCs w:val="32"/>
        </w:rPr>
        <w:t>基本原则</w:t>
      </w:r>
    </w:p>
    <w:p w14:paraId="60858C8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 w:cs="宋体"/>
          <w:kern w:val="0"/>
          <w:szCs w:val="32"/>
        </w:rPr>
      </w:pPr>
      <w:r>
        <w:rPr>
          <w:rFonts w:hint="eastAsia" w:ascii="楷体_GB2312" w:hAnsi="楷体_GB2312" w:eastAsia="楷体_GB2312" w:cs="楷体_GB2312"/>
          <w:kern w:val="0"/>
          <w:szCs w:val="32"/>
        </w:rPr>
        <w:t>（一）巩固提升粮食产能。</w:t>
      </w:r>
      <w:r>
        <w:rPr>
          <w:rFonts w:hint="eastAsia" w:ascii="仿宋_GB2312" w:hAnsi="仿宋" w:eastAsia="仿宋_GB2312" w:cs="宋体"/>
          <w:kern w:val="0"/>
          <w:szCs w:val="32"/>
        </w:rPr>
        <w:t>坚守耕地保护红线，提升耕地质量。按照“宜肥则肥、宜粮则粮、应种尽种”的原则进行作物品种内部轮作，开展</w:t>
      </w:r>
      <w:r>
        <w:rPr>
          <w:rFonts w:hint="eastAsia" w:ascii="仿宋_GB2312" w:eastAsia="仿宋_GB2312"/>
        </w:rPr>
        <w:t>双季稻轮作示范</w:t>
      </w:r>
      <w:r>
        <w:rPr>
          <w:rFonts w:hint="eastAsia" w:ascii="仿宋_GB2312" w:hAnsi="仿宋" w:eastAsia="仿宋_GB2312" w:cs="宋体"/>
          <w:kern w:val="0"/>
          <w:szCs w:val="32"/>
        </w:rPr>
        <w:t>。</w:t>
      </w:r>
    </w:p>
    <w:p w14:paraId="51A786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 w:cs="宋体"/>
          <w:kern w:val="0"/>
          <w:szCs w:val="32"/>
        </w:rPr>
      </w:pPr>
      <w:r>
        <w:rPr>
          <w:rFonts w:hint="eastAsia" w:ascii="楷体_GB2312" w:hAnsi="楷体_GB2312" w:eastAsia="楷体_GB2312" w:cs="楷体_GB2312"/>
          <w:kern w:val="0"/>
          <w:szCs w:val="32"/>
        </w:rPr>
        <w:t>（二）集中连片推进。</w:t>
      </w:r>
      <w:r>
        <w:rPr>
          <w:rFonts w:hint="eastAsia" w:ascii="仿宋_GB2312" w:hAnsi="仿宋" w:eastAsia="仿宋_GB2312" w:cs="宋体"/>
          <w:kern w:val="0"/>
          <w:szCs w:val="32"/>
        </w:rPr>
        <w:t>坚</w:t>
      </w:r>
      <w:r>
        <w:rPr>
          <w:rFonts w:hint="eastAsia" w:ascii="仿宋_GB2312" w:eastAsia="仿宋_GB2312"/>
        </w:rPr>
        <w:t>持集中连片推进双季稻轮作示范，鼓励示范区域农民、新型经营主体（含种粮大户、家庭农场、农民合作社等）和其它农业企业等（下称农民)共同参与双季稻轮作示范，优先选择规模种植粮食的新型经营主体和生产托管服务主体，带动示范区域内轮作面积的落实。</w:t>
      </w:r>
    </w:p>
    <w:p w14:paraId="20A8E7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 w:cs="宋体"/>
          <w:kern w:val="0"/>
          <w:szCs w:val="32"/>
        </w:rPr>
      </w:pPr>
      <w:r>
        <w:rPr>
          <w:rFonts w:hint="eastAsia" w:ascii="楷体_GB2312" w:hAnsi="楷体_GB2312" w:eastAsia="楷体_GB2312" w:cs="楷体_GB2312"/>
          <w:kern w:val="0"/>
          <w:szCs w:val="32"/>
        </w:rPr>
        <w:t>（三）尊重农民意愿。</w:t>
      </w:r>
      <w:r>
        <w:rPr>
          <w:rFonts w:hint="eastAsia" w:ascii="仿宋_GB2312" w:hAnsi="仿宋" w:eastAsia="仿宋_GB2312" w:cs="宋体"/>
          <w:kern w:val="0"/>
          <w:szCs w:val="32"/>
        </w:rPr>
        <w:t>坚持以农民为主体，充分尊重农民意愿。通过社会化服务，引导</w:t>
      </w:r>
      <w:r>
        <w:rPr>
          <w:rFonts w:hint="eastAsia" w:ascii="楷体" w:hAnsi="楷体" w:eastAsia="楷体" w:cs="楷体"/>
          <w:kern w:val="0"/>
          <w:szCs w:val="32"/>
        </w:rPr>
        <w:t>农民</w:t>
      </w:r>
      <w:r>
        <w:rPr>
          <w:rFonts w:hint="eastAsia" w:ascii="仿宋_GB2312" w:hAnsi="仿宋" w:eastAsia="仿宋_GB2312" w:cs="宋体"/>
          <w:kern w:val="0"/>
          <w:szCs w:val="32"/>
        </w:rPr>
        <w:t>自愿参与双季稻轮作示范，发挥其主观能动性。</w:t>
      </w:r>
    </w:p>
    <w:p w14:paraId="7BB8F1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cs="宋体"/>
          <w:kern w:val="0"/>
          <w:szCs w:val="32"/>
        </w:rPr>
      </w:pPr>
      <w:r>
        <w:rPr>
          <w:rFonts w:hint="eastAsia" w:ascii="楷体_GB2312" w:hAnsi="楷体_GB2312" w:eastAsia="楷体_GB2312" w:cs="楷体_GB2312"/>
          <w:kern w:val="0"/>
          <w:szCs w:val="32"/>
        </w:rPr>
        <w:t>（四）资源整合推进。</w:t>
      </w:r>
      <w:r>
        <w:rPr>
          <w:rFonts w:hint="eastAsia" w:ascii="仿宋_GB2312" w:hAnsi="仿宋" w:eastAsia="仿宋_GB2312" w:cs="宋体"/>
          <w:kern w:val="0"/>
          <w:szCs w:val="32"/>
        </w:rPr>
        <w:t>优先选择</w:t>
      </w:r>
      <w:r>
        <w:rPr>
          <w:rFonts w:hint="eastAsia" w:ascii="仿宋_GB2312" w:eastAsia="仿宋_GB2312"/>
          <w:szCs w:val="32"/>
        </w:rPr>
        <w:t>属于高标准农田</w:t>
      </w:r>
      <w:r>
        <w:rPr>
          <w:rFonts w:ascii="仿宋_GB2312" w:eastAsia="仿宋_GB2312"/>
          <w:szCs w:val="32"/>
        </w:rPr>
        <w:t>、垦造水田</w:t>
      </w:r>
      <w:r>
        <w:rPr>
          <w:rFonts w:hint="eastAsia" w:ascii="仿宋_GB2312" w:eastAsia="仿宋_GB2312"/>
          <w:szCs w:val="32"/>
        </w:rPr>
        <w:t>、耕地“非粮化”清退（不限于林果业清退、草皮专项整治、</w:t>
      </w:r>
      <w:r>
        <w:rPr>
          <w:rFonts w:ascii="仿宋_GB2312" w:eastAsia="仿宋_GB2312"/>
          <w:szCs w:val="32"/>
        </w:rPr>
        <w:t>撂荒耕地</w:t>
      </w:r>
      <w:r>
        <w:rPr>
          <w:rFonts w:hint="eastAsia" w:ascii="仿宋_GB2312" w:eastAsia="仿宋_GB2312"/>
          <w:szCs w:val="32"/>
        </w:rPr>
        <w:t>整治等）、粮食监测点和已征未利用地等双季稻轮作面积</w:t>
      </w:r>
      <w:r>
        <w:rPr>
          <w:rFonts w:ascii="仿宋_GB2312" w:eastAsia="仿宋_GB2312"/>
          <w:szCs w:val="32"/>
        </w:rPr>
        <w:t>实施</w:t>
      </w:r>
      <w:r>
        <w:rPr>
          <w:rFonts w:hint="eastAsia" w:ascii="仿宋_GB2312" w:hAnsi="仿宋" w:eastAsia="仿宋_GB2312" w:cs="宋体"/>
          <w:kern w:val="0"/>
          <w:szCs w:val="32"/>
        </w:rPr>
        <w:t>。</w:t>
      </w:r>
    </w:p>
    <w:p w14:paraId="660626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黑体"/>
          <w:bCs/>
          <w:kern w:val="0"/>
          <w:szCs w:val="32"/>
        </w:rPr>
      </w:pPr>
      <w:r>
        <w:rPr>
          <w:rFonts w:hint="eastAsia" w:ascii="黑体" w:hAnsi="黑体" w:eastAsia="黑体" w:cs="黑体"/>
          <w:bCs/>
          <w:kern w:val="0"/>
          <w:szCs w:val="32"/>
        </w:rPr>
        <w:t>三、实施内容和期限</w:t>
      </w:r>
    </w:p>
    <w:p w14:paraId="191AF8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宋体"/>
          <w:kern w:val="0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kern w:val="0"/>
          <w:szCs w:val="32"/>
        </w:rPr>
        <w:t>（一）实施内容。</w:t>
      </w:r>
      <w:r>
        <w:rPr>
          <w:rFonts w:hint="eastAsia" w:ascii="仿宋_GB2312" w:hAnsi="仿宋" w:eastAsia="仿宋_GB2312" w:cs="宋体"/>
          <w:kern w:val="0"/>
          <w:szCs w:val="32"/>
          <w:highlight w:val="none"/>
          <w:lang w:val="en-US" w:eastAsia="zh-CN"/>
        </w:rPr>
        <w:t>根据上级要求任务，通过“双季稻+”、</w:t>
      </w:r>
    </w:p>
    <w:p w14:paraId="22A00D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" w:eastAsia="仿宋_GB2312" w:cs="宋体"/>
          <w:kern w:val="0"/>
          <w:szCs w:val="32"/>
          <w:highlight w:val="none"/>
          <w:lang w:val="en-US" w:eastAsia="zh-CN"/>
        </w:rPr>
      </w:pPr>
      <w:r>
        <w:rPr>
          <w:rFonts w:hint="default" w:ascii="仿宋_GB2312" w:hAnsi="仿宋" w:eastAsia="仿宋_GB2312" w:cs="宋体"/>
          <w:kern w:val="0"/>
          <w:szCs w:val="32"/>
          <w:highlight w:val="none"/>
          <w:lang w:val="en-US" w:eastAsia="zh-CN"/>
        </w:rPr>
        <w:t>挖掘冬种潜力、优化种植结构和合理轮作等方式，提高土地复种指数，在稳定水稻播种面积的基础上，扩大大豆、油料和甘薯面积，确保完成全年生产目标任务。参照高标农田耕地质量提升种植绿肥每亩补助标准150元，采用“双季稻+增施有机肥”“双季稻+冬种旱粮”等二种轮作模式（下称二种模式），2024年全区计划组织实施3.3万亩以内，具体实施面积以镇（街</w:t>
      </w:r>
      <w:r>
        <w:rPr>
          <w:rFonts w:hint="eastAsia" w:ascii="仿宋_GB2312" w:hAnsi="仿宋" w:eastAsia="仿宋_GB2312" w:cs="宋体"/>
          <w:kern w:val="0"/>
          <w:szCs w:val="32"/>
          <w:highlight w:val="none"/>
          <w:lang w:val="en-US" w:eastAsia="zh-CN"/>
        </w:rPr>
        <w:t>）</w:t>
      </w:r>
      <w:r>
        <w:rPr>
          <w:rFonts w:hint="default" w:ascii="仿宋_GB2312" w:hAnsi="仿宋" w:eastAsia="仿宋_GB2312" w:cs="宋体"/>
          <w:kern w:val="0"/>
          <w:szCs w:val="32"/>
          <w:highlight w:val="none"/>
          <w:lang w:val="en-US" w:eastAsia="zh-CN"/>
        </w:rPr>
        <w:t>申报遴选确定和中标结果为准。其中：</w:t>
      </w:r>
    </w:p>
    <w:p w14:paraId="666D3A4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" w:eastAsia="仿宋_GB2312" w:cs="宋体"/>
          <w:kern w:val="0"/>
          <w:szCs w:val="32"/>
          <w:highlight w:val="none"/>
          <w:lang w:val="en-US" w:eastAsia="zh-CN"/>
        </w:rPr>
      </w:pPr>
      <w:r>
        <w:rPr>
          <w:rFonts w:hint="default" w:ascii="仿宋_GB2312" w:hAnsi="仿宋" w:eastAsia="仿宋_GB2312" w:cs="宋体"/>
          <w:kern w:val="0"/>
          <w:szCs w:val="32"/>
          <w:highlight w:val="none"/>
          <w:lang w:val="en-US" w:eastAsia="zh-CN"/>
        </w:rPr>
        <w:t>一是“双季稻+增施有机肥”，根据《2024年江门市粮油等主要作物大面积单产提升行动方案》要求，推广种植绿肥、增施有机肥，完成增施有机肥12134亩次以上（冬种紫云英6104亩）。</w:t>
      </w:r>
    </w:p>
    <w:p w14:paraId="598DBA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" w:eastAsia="仿宋_GB2312" w:cs="宋体"/>
          <w:kern w:val="0"/>
          <w:szCs w:val="32"/>
          <w:highlight w:val="none"/>
          <w:lang w:val="en-US" w:eastAsia="zh-CN"/>
        </w:rPr>
      </w:pPr>
      <w:r>
        <w:rPr>
          <w:rFonts w:hint="default" w:ascii="仿宋_GB2312" w:hAnsi="仿宋" w:eastAsia="仿宋_GB2312" w:cs="宋体"/>
          <w:kern w:val="0"/>
          <w:szCs w:val="32"/>
          <w:highlight w:val="none"/>
          <w:lang w:val="en-US" w:eastAsia="zh-CN"/>
        </w:rPr>
        <w:t>二是“双季稻+冬种旱粮”，动员发动农户扩大旱粮种植面积，推广种植玉米、大豆、花生、油料和甘薯等，计划组织实施 2 万亩以内，具体面积以镇（街）申报遴选确定和中标结果为准。</w:t>
      </w:r>
    </w:p>
    <w:p w14:paraId="2AC83918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_GB2312" w:hAnsi="仿宋" w:eastAsia="仿宋_GB2312" w:cs="宋体"/>
          <w:kern w:val="0"/>
          <w:szCs w:val="32"/>
        </w:rPr>
      </w:pPr>
      <w:r>
        <w:rPr>
          <w:rFonts w:hint="eastAsia" w:ascii="楷体_GB2312" w:hAnsi="楷体_GB2312" w:eastAsia="楷体_GB2312" w:cs="楷体_GB2312"/>
          <w:kern w:val="0"/>
          <w:szCs w:val="32"/>
        </w:rPr>
        <w:t>（二）实施期限。</w:t>
      </w:r>
      <w:r>
        <w:rPr>
          <w:rFonts w:hint="eastAsia" w:ascii="仿宋_GB2312" w:hAnsi="仿宋" w:eastAsia="仿宋_GB2312" w:cs="宋体"/>
          <w:kern w:val="0"/>
          <w:szCs w:val="32"/>
        </w:rPr>
        <w:t>本实施方案印发之日起至冬种收获轮作周期结束（2025年3月止）。其中：</w:t>
      </w:r>
    </w:p>
    <w:p w14:paraId="1169BCB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_GB2312" w:hAnsi="仿宋" w:eastAsia="仿宋_GB2312" w:cs="宋体"/>
          <w:kern w:val="0"/>
          <w:szCs w:val="32"/>
          <w:highlight w:val="none"/>
        </w:rPr>
      </w:pPr>
      <w:r>
        <w:rPr>
          <w:rFonts w:hint="eastAsia" w:ascii="仿宋_GB2312" w:hAnsi="仿宋" w:eastAsia="仿宋_GB2312" w:cs="宋体"/>
          <w:kern w:val="0"/>
          <w:szCs w:val="32"/>
          <w:lang w:val="en-US" w:eastAsia="zh-CN"/>
        </w:rPr>
        <w:t>1.</w:t>
      </w:r>
      <w:r>
        <w:rPr>
          <w:rFonts w:hint="eastAsia" w:ascii="仿宋_GB2312" w:hAnsi="仿宋" w:eastAsia="仿宋_GB2312" w:cs="宋体"/>
          <w:kern w:val="0"/>
          <w:szCs w:val="32"/>
        </w:rPr>
        <w:t>申报推荐时间：本实施方案印发之日起至</w:t>
      </w:r>
      <w:r>
        <w:rPr>
          <w:rFonts w:hint="eastAsia" w:ascii="仿宋_GB2312" w:hAnsi="仿宋" w:eastAsia="仿宋_GB2312" w:cs="宋体"/>
          <w:kern w:val="0"/>
          <w:szCs w:val="32"/>
          <w:highlight w:val="none"/>
          <w:lang w:val="en-US" w:eastAsia="zh-CN"/>
        </w:rPr>
        <w:t>9</w:t>
      </w:r>
      <w:r>
        <w:rPr>
          <w:rFonts w:hint="eastAsia" w:ascii="仿宋_GB2312" w:hAnsi="仿宋" w:eastAsia="仿宋_GB2312" w:cs="宋体"/>
          <w:kern w:val="0"/>
          <w:szCs w:val="32"/>
          <w:highlight w:val="none"/>
        </w:rPr>
        <w:t>月</w:t>
      </w:r>
      <w:r>
        <w:rPr>
          <w:rFonts w:hint="eastAsia" w:ascii="仿宋_GB2312" w:hAnsi="仿宋" w:eastAsia="仿宋_GB2312" w:cs="宋体"/>
          <w:kern w:val="0"/>
          <w:szCs w:val="32"/>
          <w:highlight w:val="none"/>
          <w:lang w:val="en-US" w:eastAsia="zh-CN"/>
        </w:rPr>
        <w:t>26</w:t>
      </w:r>
      <w:r>
        <w:rPr>
          <w:rFonts w:hint="eastAsia" w:ascii="仿宋_GB2312" w:hAnsi="仿宋" w:eastAsia="仿宋_GB2312" w:cs="宋体"/>
          <w:kern w:val="0"/>
          <w:szCs w:val="32"/>
          <w:highlight w:val="none"/>
        </w:rPr>
        <w:t>日止。</w:t>
      </w:r>
    </w:p>
    <w:p w14:paraId="579A1C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_GB2312" w:hAnsi="仿宋" w:eastAsia="仿宋_GB2312" w:cs="宋体"/>
          <w:kern w:val="0"/>
          <w:szCs w:val="32"/>
        </w:rPr>
      </w:pPr>
      <w:r>
        <w:rPr>
          <w:rFonts w:hint="eastAsia" w:ascii="仿宋_GB2312" w:hAnsi="仿宋" w:eastAsia="仿宋_GB2312" w:cs="宋体"/>
          <w:kern w:val="0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" w:eastAsia="仿宋_GB2312" w:cs="宋体"/>
          <w:kern w:val="0"/>
          <w:szCs w:val="32"/>
          <w:highlight w:val="none"/>
        </w:rPr>
        <w:t>区级审核时间：</w:t>
      </w:r>
      <w:r>
        <w:rPr>
          <w:rFonts w:ascii="仿宋_GB2312" w:hAnsi="仿宋" w:eastAsia="仿宋_GB2312" w:cs="宋体"/>
          <w:kern w:val="0"/>
          <w:szCs w:val="32"/>
          <w:highlight w:val="none"/>
        </w:rPr>
        <w:t>9</w:t>
      </w:r>
      <w:r>
        <w:rPr>
          <w:rFonts w:hint="eastAsia" w:ascii="仿宋_GB2312" w:hAnsi="仿宋" w:eastAsia="仿宋_GB2312" w:cs="宋体"/>
          <w:kern w:val="0"/>
          <w:szCs w:val="32"/>
          <w:highlight w:val="none"/>
        </w:rPr>
        <w:t>月</w:t>
      </w:r>
      <w:r>
        <w:rPr>
          <w:rFonts w:hint="eastAsia" w:ascii="仿宋_GB2312" w:hAnsi="仿宋" w:eastAsia="仿宋_GB2312" w:cs="宋体"/>
          <w:kern w:val="0"/>
          <w:szCs w:val="32"/>
          <w:highlight w:val="none"/>
          <w:lang w:val="en-US" w:eastAsia="zh-CN"/>
        </w:rPr>
        <w:t>26</w:t>
      </w:r>
      <w:r>
        <w:rPr>
          <w:rFonts w:hint="eastAsia" w:ascii="仿宋_GB2312" w:hAnsi="仿宋" w:eastAsia="仿宋_GB2312" w:cs="宋体"/>
          <w:kern w:val="0"/>
          <w:szCs w:val="32"/>
          <w:highlight w:val="none"/>
        </w:rPr>
        <w:t>日起至</w:t>
      </w:r>
      <w:r>
        <w:rPr>
          <w:rFonts w:hint="eastAsia" w:ascii="仿宋_GB2312" w:hAnsi="仿宋" w:eastAsia="仿宋_GB2312" w:cs="宋体"/>
          <w:kern w:val="0"/>
          <w:szCs w:val="32"/>
          <w:highlight w:val="none"/>
          <w:lang w:val="en-US" w:eastAsia="zh-CN"/>
        </w:rPr>
        <w:t>10</w:t>
      </w:r>
      <w:r>
        <w:rPr>
          <w:rFonts w:hint="eastAsia" w:ascii="仿宋_GB2312" w:hAnsi="仿宋" w:eastAsia="仿宋_GB2312" w:cs="宋体"/>
          <w:kern w:val="0"/>
          <w:szCs w:val="32"/>
          <w:highlight w:val="none"/>
        </w:rPr>
        <w:t>月</w:t>
      </w:r>
      <w:r>
        <w:rPr>
          <w:rFonts w:hint="eastAsia" w:ascii="仿宋_GB2312" w:hAnsi="仿宋" w:eastAsia="仿宋_GB2312" w:cs="宋体"/>
          <w:kern w:val="0"/>
          <w:szCs w:val="32"/>
          <w:highlight w:val="none"/>
          <w:lang w:val="en-US" w:eastAsia="zh-CN"/>
        </w:rPr>
        <w:t>9</w:t>
      </w:r>
      <w:r>
        <w:rPr>
          <w:rFonts w:hint="eastAsia" w:ascii="仿宋_GB2312" w:hAnsi="仿宋" w:eastAsia="仿宋_GB2312" w:cs="宋体"/>
          <w:kern w:val="0"/>
          <w:szCs w:val="32"/>
          <w:highlight w:val="none"/>
        </w:rPr>
        <w:t>日止（公</w:t>
      </w:r>
      <w:r>
        <w:rPr>
          <w:rFonts w:hint="eastAsia" w:ascii="仿宋_GB2312" w:hAnsi="仿宋" w:eastAsia="仿宋_GB2312" w:cs="宋体"/>
          <w:kern w:val="0"/>
          <w:szCs w:val="32"/>
        </w:rPr>
        <w:t>示5</w:t>
      </w:r>
    </w:p>
    <w:p w14:paraId="79FA84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ascii="仿宋_GB2312" w:hAnsi="仿宋" w:eastAsia="仿宋_GB2312" w:cs="宋体"/>
          <w:kern w:val="0"/>
          <w:szCs w:val="32"/>
        </w:rPr>
      </w:pPr>
      <w:r>
        <w:rPr>
          <w:rFonts w:hint="eastAsia" w:ascii="仿宋_GB2312" w:hAnsi="仿宋" w:eastAsia="仿宋_GB2312" w:cs="宋体"/>
          <w:kern w:val="0"/>
          <w:szCs w:val="32"/>
        </w:rPr>
        <w:t>天)。</w:t>
      </w:r>
    </w:p>
    <w:p w14:paraId="53452C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_GB2312" w:hAnsi="仿宋" w:eastAsia="仿宋_GB2312" w:cs="宋体"/>
          <w:kern w:val="0"/>
          <w:szCs w:val="32"/>
        </w:rPr>
      </w:pPr>
      <w:r>
        <w:rPr>
          <w:rFonts w:hint="eastAsia" w:ascii="仿宋_GB2312" w:hAnsi="仿宋" w:eastAsia="仿宋_GB2312" w:cs="宋体"/>
          <w:kern w:val="0"/>
          <w:szCs w:val="32"/>
          <w:lang w:val="en-US" w:eastAsia="zh-CN"/>
        </w:rPr>
        <w:t>3.</w:t>
      </w:r>
      <w:r>
        <w:rPr>
          <w:rFonts w:hint="eastAsia" w:ascii="仿宋_GB2312" w:hAnsi="仿宋" w:eastAsia="仿宋_GB2312" w:cs="宋体"/>
          <w:kern w:val="0"/>
          <w:szCs w:val="32"/>
        </w:rPr>
        <w:t>中标供应商开展社会化服务和申请验收时间：自确定为中标供应商之日起至2025年3</w:t>
      </w:r>
      <w:r>
        <w:rPr>
          <w:rFonts w:hint="eastAsia" w:ascii="仿宋_GB2312" w:hAnsi="仿宋" w:eastAsia="仿宋_GB2312" w:cs="宋体"/>
          <w:kern w:val="0"/>
          <w:szCs w:val="32"/>
          <w:lang w:val="en-US" w:eastAsia="zh-CN"/>
        </w:rPr>
        <w:t>月</w:t>
      </w:r>
      <w:r>
        <w:rPr>
          <w:rFonts w:hint="eastAsia" w:ascii="仿宋_GB2312" w:hAnsi="仿宋" w:eastAsia="仿宋_GB2312" w:cs="宋体"/>
          <w:kern w:val="0"/>
          <w:szCs w:val="32"/>
        </w:rPr>
        <w:t>止。</w:t>
      </w:r>
    </w:p>
    <w:p w14:paraId="33E7A9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黑体"/>
          <w:bCs/>
          <w:kern w:val="0"/>
          <w:szCs w:val="32"/>
        </w:rPr>
      </w:pPr>
      <w:r>
        <w:rPr>
          <w:rFonts w:hint="eastAsia" w:ascii="黑体" w:hAnsi="黑体" w:eastAsia="黑体" w:cs="黑体"/>
          <w:bCs/>
          <w:kern w:val="0"/>
          <w:szCs w:val="32"/>
        </w:rPr>
        <w:t>四、示范区域和技术路线</w:t>
      </w:r>
      <w:bookmarkStart w:id="0" w:name="_GoBack"/>
      <w:bookmarkEnd w:id="0"/>
    </w:p>
    <w:p w14:paraId="721602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 w:cs="宋体"/>
          <w:kern w:val="0"/>
          <w:szCs w:val="32"/>
        </w:rPr>
      </w:pPr>
      <w:r>
        <w:rPr>
          <w:rFonts w:hint="eastAsia" w:ascii="楷体_GB2312" w:hAnsi="楷体_GB2312" w:eastAsia="楷体_GB2312" w:cs="楷体_GB2312"/>
          <w:kern w:val="0"/>
          <w:szCs w:val="32"/>
        </w:rPr>
        <w:t>（一）示范区域。</w:t>
      </w:r>
      <w:r>
        <w:rPr>
          <w:rFonts w:hint="eastAsia" w:ascii="仿宋_GB2312" w:hAnsi="仿宋" w:eastAsia="仿宋_GB2312" w:cs="宋体"/>
          <w:kern w:val="0"/>
          <w:szCs w:val="32"/>
        </w:rPr>
        <w:t>按本《方案》的技术路线要求，各镇（街）组织辖区村委会发动有关农民积极参与，镇（街）农业农村办公室（下称农办）做好《</w:t>
      </w:r>
      <w:r>
        <w:rPr>
          <w:rFonts w:hint="eastAsia" w:ascii="仿宋_GB2312" w:hAnsi="仿宋" w:eastAsia="仿宋_GB2312"/>
          <w:szCs w:val="32"/>
        </w:rPr>
        <w:t>新会区</w:t>
      </w:r>
      <w:r>
        <w:rPr>
          <w:rFonts w:ascii="仿宋_GB2312" w:hAnsi="仿宋" w:eastAsia="仿宋_GB2312"/>
          <w:szCs w:val="32"/>
        </w:rPr>
        <w:t>2023年中央农业资源及生态保护补助资金（轮作休耕）项目2024年实施</w:t>
      </w:r>
      <w:r>
        <w:rPr>
          <w:rFonts w:hint="eastAsia" w:ascii="仿宋_GB2312" w:hAnsi="仿宋" w:eastAsia="仿宋_GB2312" w:cs="宋体"/>
          <w:kern w:val="0"/>
          <w:szCs w:val="32"/>
        </w:rPr>
        <w:t>登记清册》（详见附件1）；各镇（街）农办在本辖区内遴选有一定基础和工作积极性较高、适合实施二种模式，排灌方便的示范村，经镇、村二级公示（5天）无异议后，于2024年</w:t>
      </w:r>
      <w:r>
        <w:rPr>
          <w:rFonts w:hint="eastAsia" w:ascii="仿宋_GB2312" w:hAnsi="仿宋" w:eastAsia="仿宋_GB2312" w:cs="宋体"/>
          <w:kern w:val="0"/>
          <w:szCs w:val="32"/>
          <w:lang w:val="en-US" w:eastAsia="zh-CN"/>
        </w:rPr>
        <w:t>9</w:t>
      </w:r>
      <w:r>
        <w:rPr>
          <w:rFonts w:hint="eastAsia" w:ascii="仿宋_GB2312" w:hAnsi="仿宋" w:eastAsia="仿宋_GB2312" w:cs="宋体"/>
          <w:kern w:val="0"/>
          <w:szCs w:val="32"/>
        </w:rPr>
        <w:t>月</w:t>
      </w:r>
      <w:r>
        <w:rPr>
          <w:rFonts w:hint="eastAsia" w:ascii="仿宋_GB2312" w:hAnsi="仿宋" w:eastAsia="仿宋_GB2312" w:cs="宋体"/>
          <w:kern w:val="0"/>
          <w:szCs w:val="32"/>
          <w:highlight w:val="none"/>
          <w:lang w:val="en-US" w:eastAsia="zh-CN"/>
        </w:rPr>
        <w:t>26</w:t>
      </w:r>
      <w:r>
        <w:rPr>
          <w:rFonts w:hint="eastAsia" w:ascii="仿宋_GB2312" w:hAnsi="仿宋" w:eastAsia="仿宋_GB2312" w:cs="宋体"/>
          <w:kern w:val="0"/>
          <w:szCs w:val="32"/>
          <w:highlight w:val="none"/>
        </w:rPr>
        <w:t>日</w:t>
      </w:r>
      <w:r>
        <w:rPr>
          <w:rFonts w:hint="eastAsia" w:ascii="仿宋_GB2312" w:hAnsi="仿宋" w:eastAsia="仿宋_GB2312" w:cs="宋体"/>
          <w:kern w:val="0"/>
          <w:szCs w:val="32"/>
        </w:rPr>
        <w:t>前向区农业农村局推荐（含附件1、2、3以及公示照片）；区农业农村局依据各镇（街）农办的报送情况，按镇（街）示范面积由大到小优先确定全区的示范镇（街）、村（下称示范区域），并在新会区政府信息公开平台公开公示确定结果（5天）。</w:t>
      </w:r>
    </w:p>
    <w:p w14:paraId="1BC4B2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 w:cs="宋体"/>
          <w:kern w:val="0"/>
          <w:szCs w:val="32"/>
        </w:rPr>
      </w:pPr>
      <w:r>
        <w:rPr>
          <w:rFonts w:hint="eastAsia" w:ascii="楷体_GB2312" w:hAnsi="楷体_GB2312" w:eastAsia="楷体_GB2312" w:cs="楷体_GB2312"/>
          <w:kern w:val="0"/>
          <w:szCs w:val="32"/>
        </w:rPr>
        <w:t>（二）技术路线。</w:t>
      </w:r>
      <w:r>
        <w:rPr>
          <w:rFonts w:hint="eastAsia" w:ascii="仿宋_GB2312" w:hAnsi="仿宋" w:eastAsia="仿宋_GB2312" w:cs="宋体"/>
          <w:kern w:val="0"/>
          <w:szCs w:val="32"/>
        </w:rPr>
        <w:t>采用水旱轮作、用地养地相结合生态种植的二种模式。</w:t>
      </w:r>
    </w:p>
    <w:p w14:paraId="513844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 w:cs="宋体"/>
          <w:kern w:val="0"/>
          <w:szCs w:val="32"/>
        </w:rPr>
      </w:pPr>
      <w:r>
        <w:rPr>
          <w:rFonts w:hint="eastAsia" w:ascii="仿宋_GB2312" w:hAnsi="仿宋" w:eastAsia="仿宋_GB2312" w:cs="宋体"/>
          <w:kern w:val="0"/>
          <w:szCs w:val="32"/>
        </w:rPr>
        <w:t>1</w:t>
      </w:r>
      <w:r>
        <w:rPr>
          <w:rFonts w:hint="eastAsia" w:ascii="仿宋_GB2312" w:hAnsi="仿宋" w:eastAsia="仿宋_GB2312" w:cs="宋体"/>
          <w:kern w:val="0"/>
          <w:szCs w:val="32"/>
          <w:lang w:val="en-US" w:eastAsia="zh-CN"/>
        </w:rPr>
        <w:t>.</w:t>
      </w:r>
      <w:r>
        <w:rPr>
          <w:rFonts w:hint="eastAsia" w:ascii="仿宋_GB2312" w:hAnsi="仿宋" w:eastAsia="仿宋_GB2312" w:cs="宋体"/>
          <w:kern w:val="0"/>
          <w:szCs w:val="32"/>
        </w:rPr>
        <w:t>每个示范区域连片实施面积不小于（含）5亩，且不属于开展其它冬种绿肥、蔬菜项目的面积。</w:t>
      </w:r>
    </w:p>
    <w:p w14:paraId="6E577F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 w:cs="宋体"/>
          <w:kern w:val="0"/>
          <w:szCs w:val="32"/>
        </w:rPr>
      </w:pPr>
      <w:r>
        <w:rPr>
          <w:rFonts w:hint="eastAsia" w:ascii="仿宋_GB2312" w:hAnsi="仿宋" w:eastAsia="仿宋_GB2312" w:cs="宋体"/>
          <w:kern w:val="0"/>
          <w:szCs w:val="32"/>
        </w:rPr>
        <w:t>2</w:t>
      </w:r>
      <w:r>
        <w:rPr>
          <w:rFonts w:hint="eastAsia" w:ascii="仿宋_GB2312" w:hAnsi="仿宋" w:eastAsia="仿宋_GB2312" w:cs="宋体"/>
          <w:kern w:val="0"/>
          <w:szCs w:val="32"/>
          <w:lang w:val="en-US" w:eastAsia="zh-CN"/>
        </w:rPr>
        <w:t>.</w:t>
      </w:r>
      <w:r>
        <w:rPr>
          <w:rFonts w:hint="eastAsia" w:ascii="仿宋_GB2312" w:hAnsi="仿宋" w:eastAsia="仿宋_GB2312" w:cs="宋体"/>
          <w:kern w:val="0"/>
          <w:szCs w:val="32"/>
        </w:rPr>
        <w:t>示范区域内必须种植二种模式之一。</w:t>
      </w:r>
    </w:p>
    <w:p w14:paraId="571615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 w:cs="宋体"/>
          <w:kern w:val="0"/>
          <w:szCs w:val="32"/>
        </w:rPr>
      </w:pPr>
      <w:r>
        <w:rPr>
          <w:rFonts w:hint="eastAsia" w:ascii="仿宋_GB2312" w:hAnsi="仿宋" w:eastAsia="仿宋_GB2312" w:cs="宋体"/>
          <w:kern w:val="0"/>
          <w:szCs w:val="32"/>
        </w:rPr>
        <w:t>3</w:t>
      </w:r>
      <w:r>
        <w:rPr>
          <w:rFonts w:hint="eastAsia" w:ascii="仿宋_GB2312" w:hAnsi="仿宋" w:eastAsia="仿宋_GB2312" w:cs="宋体"/>
          <w:kern w:val="0"/>
          <w:szCs w:val="32"/>
          <w:lang w:val="en-US" w:eastAsia="zh-CN"/>
        </w:rPr>
        <w:t>.</w:t>
      </w:r>
      <w:r>
        <w:rPr>
          <w:rFonts w:hint="eastAsia" w:ascii="仿宋_GB2312" w:hAnsi="仿宋" w:eastAsia="仿宋_GB2312" w:cs="宋体"/>
          <w:kern w:val="0"/>
          <w:szCs w:val="32"/>
        </w:rPr>
        <w:t>示范区域实施秸秆还田及其它综合利用。</w:t>
      </w:r>
    </w:p>
    <w:p w14:paraId="116905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 w:cs="宋体"/>
          <w:kern w:val="0"/>
          <w:szCs w:val="32"/>
        </w:rPr>
      </w:pPr>
      <w:r>
        <w:rPr>
          <w:rFonts w:hint="eastAsia" w:ascii="仿宋_GB2312" w:hAnsi="仿宋" w:eastAsia="仿宋_GB2312" w:cs="宋体"/>
          <w:kern w:val="0"/>
          <w:szCs w:val="32"/>
        </w:rPr>
        <w:t>4</w:t>
      </w:r>
      <w:r>
        <w:rPr>
          <w:rFonts w:hint="eastAsia" w:ascii="仿宋_GB2312" w:hAnsi="仿宋" w:eastAsia="仿宋_GB2312" w:cs="宋体"/>
          <w:kern w:val="0"/>
          <w:szCs w:val="32"/>
          <w:lang w:val="en-US" w:eastAsia="zh-CN"/>
        </w:rPr>
        <w:t>.</w:t>
      </w:r>
      <w:r>
        <w:rPr>
          <w:rFonts w:hint="eastAsia" w:ascii="仿宋_GB2312" w:hAnsi="仿宋" w:eastAsia="仿宋_GB2312" w:cs="宋体"/>
          <w:kern w:val="0"/>
          <w:szCs w:val="32"/>
        </w:rPr>
        <w:t>建立示范区域台账，登记示范区域面积、区域位置、涉及农民信息、种植作物信息、每一季作物种植和长势影像图片资料、补助信息等。</w:t>
      </w:r>
    </w:p>
    <w:p w14:paraId="79D05B9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黑体"/>
          <w:bCs/>
          <w:kern w:val="0"/>
          <w:szCs w:val="32"/>
        </w:rPr>
      </w:pPr>
      <w:r>
        <w:rPr>
          <w:rFonts w:hint="eastAsia" w:ascii="黑体" w:hAnsi="黑体" w:eastAsia="黑体" w:cs="黑体"/>
          <w:bCs/>
          <w:kern w:val="0"/>
          <w:szCs w:val="32"/>
        </w:rPr>
        <w:t>五、实施主体和方式</w:t>
      </w:r>
    </w:p>
    <w:p w14:paraId="3B38C8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cs="宋体"/>
          <w:kern w:val="0"/>
          <w:szCs w:val="32"/>
        </w:rPr>
      </w:pPr>
      <w:r>
        <w:rPr>
          <w:rFonts w:hint="eastAsia" w:ascii="楷体_GB2312" w:hAnsi="楷体_GB2312" w:eastAsia="楷体_GB2312" w:cs="楷体_GB2312"/>
          <w:kern w:val="0"/>
          <w:szCs w:val="32"/>
        </w:rPr>
        <w:t>（一）实施主体</w:t>
      </w:r>
      <w:r>
        <w:rPr>
          <w:rFonts w:hint="eastAsia" w:ascii="楷体" w:hAnsi="楷体" w:eastAsia="楷体" w:cs="楷体"/>
          <w:kern w:val="0"/>
          <w:szCs w:val="32"/>
        </w:rPr>
        <w:t>。</w:t>
      </w:r>
      <w:r>
        <w:rPr>
          <w:rFonts w:hint="eastAsia" w:ascii="仿宋_GB2312" w:hAnsi="仿宋" w:eastAsia="仿宋_GB2312" w:cs="宋体"/>
          <w:kern w:val="0"/>
          <w:szCs w:val="32"/>
        </w:rPr>
        <w:t>示范区域镇（街）农办为实施主体。</w:t>
      </w:r>
    </w:p>
    <w:p w14:paraId="1ADB53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kern w:val="0"/>
          <w:szCs w:val="32"/>
        </w:rPr>
      </w:pPr>
      <w:r>
        <w:rPr>
          <w:rFonts w:hint="eastAsia" w:ascii="楷体_GB2312" w:hAnsi="楷体_GB2312" w:eastAsia="楷体_GB2312" w:cs="楷体_GB2312"/>
          <w:kern w:val="0"/>
          <w:szCs w:val="32"/>
        </w:rPr>
        <w:t>（二）实施方式。</w:t>
      </w:r>
    </w:p>
    <w:p w14:paraId="0678B9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 w:hAnsi="仿宋" w:eastAsia="仿宋_GB2312" w:cs="宋体"/>
          <w:kern w:val="0"/>
          <w:szCs w:val="32"/>
        </w:rPr>
      </w:pPr>
      <w:r>
        <w:rPr>
          <w:rFonts w:hint="eastAsia" w:ascii="仿宋_GB2312" w:hAnsi="仿宋" w:eastAsia="仿宋_GB2312" w:cs="宋体"/>
          <w:b/>
          <w:kern w:val="0"/>
          <w:szCs w:val="32"/>
        </w:rPr>
        <w:t>1</w:t>
      </w:r>
      <w:r>
        <w:rPr>
          <w:rFonts w:hint="eastAsia" w:ascii="仿宋_GB2312" w:hAnsi="仿宋" w:eastAsia="仿宋_GB2312" w:cs="宋体"/>
          <w:b/>
          <w:kern w:val="0"/>
          <w:szCs w:val="32"/>
          <w:lang w:val="en-US" w:eastAsia="zh-CN"/>
        </w:rPr>
        <w:t>.</w:t>
      </w:r>
      <w:r>
        <w:rPr>
          <w:rFonts w:hint="eastAsia" w:ascii="仿宋_GB2312" w:hAnsi="仿宋" w:eastAsia="仿宋_GB2312" w:cs="宋体"/>
          <w:b/>
          <w:kern w:val="0"/>
          <w:szCs w:val="32"/>
        </w:rPr>
        <w:t>开展社会化服务。</w:t>
      </w:r>
      <w:r>
        <w:rPr>
          <w:rFonts w:hint="eastAsia" w:ascii="仿宋_GB2312" w:hAnsi="仿宋" w:eastAsia="仿宋_GB2312" w:cs="宋体"/>
          <w:kern w:val="0"/>
          <w:szCs w:val="32"/>
        </w:rPr>
        <w:t>由区农业农村局按政府采购管理规定，确定二个中标供应商对开展二种模式的示范面积购买种子、肥料进行播种、施肥；建立示范台账、技术指导、宣传培训、效益评估、满意度调查、总结审计验收等社会化服务。（具体以区农业农村局确定的示范面积和中标结果而定）</w:t>
      </w:r>
    </w:p>
    <w:p w14:paraId="1BCD08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 w:hAnsi="仿宋" w:eastAsia="仿宋_GB2312" w:cs="宋体"/>
          <w:kern w:val="0"/>
          <w:szCs w:val="32"/>
        </w:rPr>
      </w:pPr>
      <w:r>
        <w:rPr>
          <w:rFonts w:hint="eastAsia" w:ascii="仿宋_GB2312" w:hAnsi="仿宋" w:eastAsia="仿宋_GB2312" w:cs="宋体"/>
          <w:b/>
          <w:kern w:val="0"/>
          <w:szCs w:val="32"/>
        </w:rPr>
        <w:t>2</w:t>
      </w:r>
      <w:r>
        <w:rPr>
          <w:rFonts w:hint="eastAsia" w:ascii="仿宋_GB2312" w:hAnsi="仿宋" w:eastAsia="仿宋_GB2312" w:cs="宋体"/>
          <w:b/>
          <w:kern w:val="0"/>
          <w:szCs w:val="32"/>
          <w:lang w:val="en-US" w:eastAsia="zh-CN"/>
        </w:rPr>
        <w:t>.</w:t>
      </w:r>
      <w:r>
        <w:rPr>
          <w:rFonts w:hint="eastAsia" w:ascii="仿宋_GB2312" w:hAnsi="仿宋" w:eastAsia="仿宋_GB2312" w:cs="宋体"/>
          <w:b/>
          <w:kern w:val="0"/>
          <w:szCs w:val="32"/>
        </w:rPr>
        <w:t>镇（街）农办组织村与农民积极实施。</w:t>
      </w:r>
      <w:r>
        <w:rPr>
          <w:rFonts w:hint="eastAsia" w:ascii="仿宋_GB2312" w:hAnsi="仿宋" w:eastAsia="仿宋_GB2312" w:cs="宋体"/>
          <w:kern w:val="0"/>
          <w:szCs w:val="32"/>
        </w:rPr>
        <w:t>早、晚稻由农民种植收获；在实施二种模式</w:t>
      </w:r>
      <w:r>
        <w:rPr>
          <w:rFonts w:ascii="仿宋_GB2312" w:hAnsi="仿宋" w:eastAsia="仿宋_GB2312" w:cs="宋体"/>
          <w:kern w:val="0"/>
          <w:szCs w:val="32"/>
        </w:rPr>
        <w:t>的</w:t>
      </w:r>
      <w:r>
        <w:rPr>
          <w:rFonts w:hint="eastAsia" w:ascii="仿宋_GB2312" w:hAnsi="仿宋" w:eastAsia="仿宋_GB2312" w:cs="宋体"/>
          <w:kern w:val="0"/>
          <w:szCs w:val="32"/>
        </w:rPr>
        <w:t>过程中，镇（街）农办要组织各示范村和农户按技术指导要求，积极做好开沟、管水、追肥、病虫害防控和采收等工作。</w:t>
      </w:r>
    </w:p>
    <w:p w14:paraId="10656C8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黑体"/>
          <w:bCs/>
          <w:kern w:val="0"/>
          <w:szCs w:val="32"/>
        </w:rPr>
      </w:pPr>
      <w:r>
        <w:rPr>
          <w:rFonts w:hint="eastAsia" w:ascii="黑体" w:hAnsi="黑体" w:eastAsia="黑体" w:cs="黑体"/>
          <w:bCs/>
          <w:kern w:val="0"/>
          <w:szCs w:val="32"/>
        </w:rPr>
        <w:t>六、补助方式</w:t>
      </w:r>
    </w:p>
    <w:p w14:paraId="61DE44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 w:hAnsi="仿宋" w:eastAsia="仿宋_GB2312" w:cs="宋体"/>
          <w:kern w:val="0"/>
          <w:szCs w:val="32"/>
        </w:rPr>
      </w:pPr>
      <w:r>
        <w:rPr>
          <w:rFonts w:hint="eastAsia" w:ascii="仿宋_GB2312" w:hAnsi="楷体" w:eastAsia="仿宋_GB2312" w:cs="楷体"/>
          <w:b/>
          <w:kern w:val="0"/>
          <w:szCs w:val="32"/>
        </w:rPr>
        <w:t>（一）资金规模。</w:t>
      </w:r>
      <w:r>
        <w:rPr>
          <w:rFonts w:hint="eastAsia" w:ascii="仿宋" w:hAnsi="仿宋" w:cs="仿宋"/>
          <w:szCs w:val="32"/>
        </w:rPr>
        <w:t>2023年中央农业资源及生态保护补助资金--2023年实施结余资金500</w:t>
      </w:r>
      <w:r>
        <w:rPr>
          <w:rFonts w:ascii="仿宋" w:hAnsi="仿宋" w:cs="仿宋"/>
          <w:szCs w:val="32"/>
        </w:rPr>
        <w:t>.03</w:t>
      </w:r>
      <w:r>
        <w:rPr>
          <w:rFonts w:hint="eastAsia" w:ascii="仿宋" w:hAnsi="仿宋" w:cs="仿宋"/>
          <w:szCs w:val="32"/>
        </w:rPr>
        <w:t>万元。</w:t>
      </w:r>
    </w:p>
    <w:p w14:paraId="48BE03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 w:hAnsi="仿宋" w:eastAsia="仿宋_GB2312" w:cs="宋体"/>
          <w:kern w:val="0"/>
          <w:szCs w:val="32"/>
          <w:highlight w:val="green"/>
        </w:rPr>
      </w:pPr>
      <w:r>
        <w:rPr>
          <w:rFonts w:hint="eastAsia" w:ascii="仿宋_GB2312" w:hAnsi="楷体" w:eastAsia="仿宋_GB2312" w:cs="楷体"/>
          <w:b/>
          <w:kern w:val="0"/>
          <w:szCs w:val="32"/>
        </w:rPr>
        <w:t>（二）实施金额。</w:t>
      </w:r>
      <w:r>
        <w:rPr>
          <w:rFonts w:hint="eastAsia" w:ascii="仿宋_GB2312" w:hAnsi="仿宋" w:eastAsia="仿宋_GB2312" w:cs="宋体"/>
          <w:kern w:val="0"/>
          <w:szCs w:val="32"/>
        </w:rPr>
        <w:t>具体的实施金额以中标结果为准，</w:t>
      </w:r>
      <w:r>
        <w:rPr>
          <w:rFonts w:hint="eastAsia" w:ascii="仿宋" w:hAnsi="仿宋" w:cs="仿宋"/>
          <w:szCs w:val="32"/>
        </w:rPr>
        <w:t>据实支出，上限</w:t>
      </w:r>
      <w:r>
        <w:rPr>
          <w:rFonts w:hint="eastAsia" w:ascii="仿宋_GB2312" w:hAnsi="仿宋" w:eastAsia="仿宋_GB2312" w:cs="宋体"/>
          <w:kern w:val="0"/>
          <w:szCs w:val="32"/>
        </w:rPr>
        <w:t>不超500</w:t>
      </w:r>
      <w:r>
        <w:rPr>
          <w:rFonts w:ascii="仿宋_GB2312" w:hAnsi="仿宋" w:eastAsia="仿宋_GB2312" w:cs="宋体"/>
          <w:kern w:val="0"/>
          <w:szCs w:val="32"/>
        </w:rPr>
        <w:t>.03</w:t>
      </w:r>
      <w:r>
        <w:rPr>
          <w:rFonts w:hint="eastAsia" w:ascii="仿宋_GB2312" w:hAnsi="仿宋" w:eastAsia="仿宋_GB2312" w:cs="宋体"/>
          <w:kern w:val="0"/>
          <w:szCs w:val="32"/>
        </w:rPr>
        <w:t>万元，</w:t>
      </w:r>
      <w:r>
        <w:rPr>
          <w:rFonts w:hint="eastAsia" w:ascii="仿宋" w:hAnsi="仿宋" w:cs="仿宋"/>
          <w:szCs w:val="32"/>
        </w:rPr>
        <w:t>中标结果余下的资金结合试点成效和上级的最新精神有序推进。</w:t>
      </w:r>
    </w:p>
    <w:p w14:paraId="0BE5ED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 w:hAnsi="仿宋" w:eastAsia="仿宋_GB2312" w:cs="宋体"/>
          <w:kern w:val="0"/>
          <w:szCs w:val="32"/>
        </w:rPr>
      </w:pPr>
      <w:r>
        <w:rPr>
          <w:rFonts w:hint="eastAsia" w:ascii="仿宋_GB2312" w:hAnsi="楷体" w:eastAsia="仿宋_GB2312" w:cs="楷体"/>
          <w:b/>
          <w:kern w:val="0"/>
          <w:szCs w:val="32"/>
        </w:rPr>
        <w:t>（三）补助方式。</w:t>
      </w:r>
      <w:r>
        <w:rPr>
          <w:rFonts w:hint="eastAsia" w:ascii="仿宋_GB2312" w:hAnsi="仿宋" w:eastAsia="仿宋_GB2312" w:cs="宋体"/>
          <w:kern w:val="0"/>
          <w:szCs w:val="32"/>
        </w:rPr>
        <w:t>按本项目的《社会化服务合同》条款和进度，由区农业农村局报请区财政局将补助资金补助给中标供应商。</w:t>
      </w:r>
    </w:p>
    <w:p w14:paraId="13EE29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黑体"/>
          <w:bCs/>
          <w:kern w:val="0"/>
          <w:szCs w:val="32"/>
        </w:rPr>
      </w:pPr>
      <w:r>
        <w:rPr>
          <w:rFonts w:hint="eastAsia" w:ascii="黑体" w:hAnsi="黑体" w:eastAsia="黑体" w:cs="黑体"/>
          <w:bCs/>
          <w:kern w:val="0"/>
          <w:szCs w:val="32"/>
        </w:rPr>
        <w:t>七、工作要求和保障措施</w:t>
      </w:r>
    </w:p>
    <w:p w14:paraId="700280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 w:hAnsi="仿宋" w:eastAsia="仿宋_GB2312" w:cs="宋体"/>
          <w:kern w:val="0"/>
          <w:szCs w:val="32"/>
        </w:rPr>
      </w:pPr>
      <w:r>
        <w:rPr>
          <w:rFonts w:hint="eastAsia" w:ascii="仿宋_GB2312" w:hAnsi="楷体" w:eastAsia="仿宋_GB2312" w:cs="楷体"/>
          <w:b/>
          <w:kern w:val="0"/>
          <w:szCs w:val="32"/>
        </w:rPr>
        <w:t>（一）加强组织领导。</w:t>
      </w:r>
      <w:r>
        <w:rPr>
          <w:rFonts w:hint="eastAsia" w:ascii="仿宋_GB2312" w:hAnsi="仿宋" w:eastAsia="仿宋_GB2312" w:cs="宋体"/>
          <w:kern w:val="0"/>
          <w:szCs w:val="32"/>
        </w:rPr>
        <w:t>实行区抓落实的工作机制。成立由区政府分管领导任组长，区农业农村局、区财政局为成员的示范</w:t>
      </w:r>
      <w:r>
        <w:rPr>
          <w:rFonts w:hint="eastAsia" w:ascii="仿宋_GB2312" w:eastAsia="仿宋_GB2312"/>
        </w:rPr>
        <w:t>项目</w:t>
      </w:r>
      <w:r>
        <w:rPr>
          <w:rFonts w:hint="eastAsia" w:ascii="仿宋_GB2312" w:hAnsi="仿宋" w:eastAsia="仿宋_GB2312" w:cs="宋体"/>
          <w:kern w:val="0"/>
          <w:szCs w:val="32"/>
        </w:rPr>
        <w:t>推进落实领导小组，全面落实示范任务和要求，保障示范工作有序开展、取得实效。</w:t>
      </w:r>
    </w:p>
    <w:p w14:paraId="3642B1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 w:hAnsi="仿宋" w:eastAsia="仿宋_GB2312" w:cs="宋体"/>
          <w:kern w:val="0"/>
          <w:szCs w:val="32"/>
        </w:rPr>
      </w:pPr>
      <w:r>
        <w:rPr>
          <w:rFonts w:hint="eastAsia" w:ascii="仿宋_GB2312" w:hAnsi="楷体" w:eastAsia="仿宋_GB2312" w:cs="楷体"/>
          <w:b/>
          <w:kern w:val="0"/>
          <w:szCs w:val="32"/>
        </w:rPr>
        <w:t>（二）细化实化任务。</w:t>
      </w:r>
      <w:r>
        <w:rPr>
          <w:rFonts w:hint="eastAsia" w:ascii="仿宋_GB2312" w:hAnsi="仿宋" w:eastAsia="仿宋_GB2312" w:cs="宋体"/>
          <w:kern w:val="0"/>
          <w:szCs w:val="32"/>
        </w:rPr>
        <w:t>层层落实责任，示范区域镇（街）农办与示范村（含农民）签订</w:t>
      </w:r>
      <w:r>
        <w:rPr>
          <w:rFonts w:hint="eastAsia" w:ascii="仿宋_GB2312" w:hAnsi="仿宋" w:eastAsia="仿宋_GB2312"/>
          <w:szCs w:val="32"/>
        </w:rPr>
        <w:t>新会区</w:t>
      </w:r>
      <w:r>
        <w:rPr>
          <w:rFonts w:ascii="仿宋_GB2312" w:hAnsi="仿宋" w:eastAsia="仿宋_GB2312"/>
          <w:szCs w:val="32"/>
        </w:rPr>
        <w:t>2023年中央农业资源及生态保护补助资金（轮作休耕）项目2024年实施</w:t>
      </w:r>
      <w:r>
        <w:rPr>
          <w:rFonts w:hint="eastAsia" w:ascii="仿宋_GB2312" w:hAnsi="仿宋" w:eastAsia="仿宋_GB2312" w:cs="宋体"/>
          <w:kern w:val="0"/>
          <w:szCs w:val="32"/>
        </w:rPr>
        <w:t>示范协议（详见附件3），明确相关权利、责任和义务，保障示范工作规范有序开展。</w:t>
      </w:r>
    </w:p>
    <w:p w14:paraId="3CB61E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 w:hAnsi="仿宋" w:eastAsia="仿宋_GB2312" w:cs="宋体"/>
          <w:kern w:val="0"/>
          <w:szCs w:val="32"/>
        </w:rPr>
      </w:pPr>
      <w:r>
        <w:rPr>
          <w:rFonts w:hint="eastAsia" w:ascii="仿宋_GB2312" w:hAnsi="楷体" w:eastAsia="仿宋_GB2312" w:cs="楷体"/>
          <w:b/>
          <w:kern w:val="0"/>
          <w:szCs w:val="32"/>
        </w:rPr>
        <w:t>（三）加强指导督查。</w:t>
      </w:r>
      <w:r>
        <w:rPr>
          <w:rFonts w:hint="eastAsia" w:ascii="仿宋_GB2312" w:hAnsi="仿宋" w:eastAsia="仿宋_GB2312" w:cs="宋体"/>
          <w:kern w:val="0"/>
          <w:szCs w:val="32"/>
        </w:rPr>
        <w:t>区农业农村局、示范区域农办和中标供应商强化技术指导服务；区农业农村局和区财政局联合加强督导检查。示范区域的镇（街）要做好村、农民配合中标供应商的协调工作。</w:t>
      </w:r>
    </w:p>
    <w:p w14:paraId="1B50E7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 w:hAnsi="仿宋" w:eastAsia="仿宋_GB2312" w:cs="宋体"/>
          <w:kern w:val="0"/>
          <w:szCs w:val="32"/>
        </w:rPr>
      </w:pPr>
      <w:r>
        <w:rPr>
          <w:rFonts w:hint="eastAsia" w:ascii="仿宋_GB2312" w:hAnsi="楷体" w:eastAsia="仿宋_GB2312" w:cs="楷体"/>
          <w:b/>
          <w:kern w:val="0"/>
          <w:szCs w:val="32"/>
        </w:rPr>
        <w:t>（四）搞好总结宣传。</w:t>
      </w:r>
      <w:r>
        <w:rPr>
          <w:rFonts w:hint="eastAsia" w:ascii="仿宋_GB2312" w:hAnsi="仿宋" w:eastAsia="仿宋_GB2312" w:cs="宋体"/>
          <w:kern w:val="0"/>
          <w:szCs w:val="32"/>
        </w:rPr>
        <w:t>充分利用广播、电视、网络等媒体，宣传双季稻轮作的重要意义和有关要求，引导社会各界关注支持双季稻轮作示范工作。通过现场观摩、经验交流、典型示范等方式，宣传有关成效，营造良好舆论氛围。</w:t>
      </w:r>
    </w:p>
    <w:p w14:paraId="65F54E79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ascii="仿宋_GB2312" w:hAnsi="仿宋" w:eastAsia="仿宋_GB2312" w:cs="方正小标宋简体"/>
          <w:kern w:val="36"/>
          <w:szCs w:val="32"/>
        </w:rPr>
      </w:pPr>
      <w:r>
        <w:rPr>
          <w:rFonts w:hint="eastAsia" w:ascii="仿宋_GB2312" w:hAnsi="楷体" w:eastAsia="仿宋_GB2312" w:cs="楷体"/>
          <w:b/>
          <w:kern w:val="0"/>
          <w:szCs w:val="32"/>
        </w:rPr>
        <w:t>（五）报送情况。</w:t>
      </w:r>
      <w:r>
        <w:rPr>
          <w:rFonts w:hint="eastAsia" w:ascii="仿宋_GB2312" w:hAnsi="仿宋" w:eastAsia="仿宋_GB2312" w:cs="方正小标宋简体"/>
          <w:kern w:val="36"/>
          <w:szCs w:val="32"/>
        </w:rPr>
        <w:t>认真总结项目实施情况，由区农业农村局按时向上级报送行动进度和总结。</w:t>
      </w:r>
    </w:p>
    <w:p w14:paraId="42DD318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 w:hAnsi="仿宋" w:eastAsia="仿宋_GB2312" w:cs="宋体"/>
          <w:kern w:val="0"/>
          <w:szCs w:val="32"/>
        </w:rPr>
      </w:pPr>
      <w:r>
        <w:rPr>
          <w:rFonts w:hint="eastAsia" w:ascii="仿宋_GB2312" w:hAnsi="楷体" w:eastAsia="仿宋_GB2312" w:cs="楷体"/>
          <w:b/>
          <w:kern w:val="0"/>
          <w:szCs w:val="32"/>
        </w:rPr>
        <w:t>（六）做好验收。</w:t>
      </w:r>
      <w:r>
        <w:rPr>
          <w:rFonts w:hint="eastAsia" w:ascii="仿宋_GB2312" w:hAnsi="仿宋" w:eastAsia="仿宋_GB2312" w:cs="仿宋"/>
          <w:kern w:val="0"/>
          <w:szCs w:val="32"/>
        </w:rPr>
        <w:t>中标供应商</w:t>
      </w:r>
      <w:r>
        <w:rPr>
          <w:rFonts w:hint="eastAsia" w:ascii="仿宋_GB2312" w:hAnsi="仿宋" w:eastAsia="仿宋_GB2312" w:cs="宋体"/>
          <w:kern w:val="0"/>
          <w:szCs w:val="32"/>
        </w:rPr>
        <w:t>于2025年3月底前完成项目，并</w:t>
      </w:r>
      <w:r>
        <w:rPr>
          <w:rFonts w:hint="eastAsia" w:ascii="仿宋_GB2312" w:hAnsi="仿宋" w:eastAsia="仿宋_GB2312" w:cs="仿宋"/>
          <w:kern w:val="0"/>
          <w:szCs w:val="32"/>
        </w:rPr>
        <w:t>向区农业农村局提出区级验收申请，</w:t>
      </w:r>
      <w:r>
        <w:rPr>
          <w:rFonts w:hint="eastAsia" w:ascii="仿宋_GB2312" w:hAnsi="仿宋" w:eastAsia="仿宋_GB2312" w:cs="宋体"/>
          <w:kern w:val="0"/>
          <w:szCs w:val="32"/>
        </w:rPr>
        <w:t>区农业农村局组织种植和会计专业类，具中级（含）以上专业技术职称资格的不少于3名专家进行验收。</w:t>
      </w:r>
    </w:p>
    <w:p w14:paraId="6FF329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 w:cs="宋体"/>
          <w:kern w:val="0"/>
          <w:szCs w:val="32"/>
        </w:rPr>
      </w:pPr>
    </w:p>
    <w:p w14:paraId="576B02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0" w:leftChars="200" w:hanging="960" w:hangingChars="300"/>
        <w:jc w:val="left"/>
        <w:textAlignment w:val="auto"/>
        <w:rPr>
          <w:rFonts w:ascii="仿宋_GB2312" w:hAnsi="仿宋" w:eastAsia="仿宋_GB2312" w:cs="宋体"/>
          <w:kern w:val="0"/>
          <w:szCs w:val="32"/>
        </w:rPr>
      </w:pPr>
      <w:r>
        <w:rPr>
          <w:rFonts w:hint="eastAsia" w:ascii="仿宋_GB2312" w:hAnsi="仿宋" w:eastAsia="仿宋_GB2312" w:cs="宋体"/>
          <w:kern w:val="0"/>
          <w:szCs w:val="32"/>
        </w:rPr>
        <w:t>附件：1.</w:t>
      </w:r>
      <w:r>
        <w:rPr>
          <w:rFonts w:hint="eastAsia" w:ascii="仿宋_GB2312" w:hAnsi="仿宋" w:eastAsia="仿宋_GB2312"/>
          <w:szCs w:val="32"/>
        </w:rPr>
        <w:t>新会区</w:t>
      </w:r>
      <w:r>
        <w:rPr>
          <w:rFonts w:ascii="仿宋_GB2312" w:hAnsi="仿宋" w:eastAsia="仿宋_GB2312"/>
          <w:szCs w:val="32"/>
        </w:rPr>
        <w:t>2023年中央农业资源及生态保护补助资金（轮作休耕）项目2024年实施</w:t>
      </w:r>
      <w:r>
        <w:rPr>
          <w:rFonts w:hint="eastAsia" w:ascii="仿宋_GB2312" w:hAnsi="仿宋" w:eastAsia="仿宋_GB2312" w:cs="宋体"/>
          <w:kern w:val="0"/>
          <w:szCs w:val="32"/>
        </w:rPr>
        <w:t>登记清册</w:t>
      </w:r>
    </w:p>
    <w:p w14:paraId="315947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0" w:leftChars="500" w:firstLine="0" w:firstLineChars="0"/>
        <w:jc w:val="left"/>
        <w:textAlignment w:val="auto"/>
        <w:rPr>
          <w:rFonts w:ascii="仿宋_GB2312" w:hAnsi="仿宋" w:eastAsia="仿宋_GB2312" w:cs="宋体"/>
          <w:kern w:val="0"/>
          <w:szCs w:val="32"/>
        </w:rPr>
      </w:pPr>
      <w:r>
        <w:rPr>
          <w:rFonts w:hint="eastAsia" w:ascii="仿宋_GB2312" w:hAnsi="仿宋" w:eastAsia="仿宋_GB2312" w:cs="宋体"/>
          <w:kern w:val="0"/>
          <w:szCs w:val="32"/>
        </w:rPr>
        <w:t>2.</w:t>
      </w:r>
      <w:r>
        <w:rPr>
          <w:rFonts w:hint="eastAsia" w:ascii="仿宋_GB2312" w:hAnsi="仿宋" w:eastAsia="仿宋_GB2312"/>
          <w:szCs w:val="32"/>
        </w:rPr>
        <w:t>新会区</w:t>
      </w:r>
      <w:r>
        <w:rPr>
          <w:rFonts w:ascii="仿宋_GB2312" w:hAnsi="仿宋" w:eastAsia="仿宋_GB2312"/>
          <w:szCs w:val="32"/>
        </w:rPr>
        <w:t>2023年中央农业资源及生态保护补助资金（轮作休耕）项目2024年实施</w:t>
      </w:r>
      <w:r>
        <w:rPr>
          <w:rFonts w:hint="eastAsia" w:ascii="仿宋_GB2312" w:hAnsi="仿宋" w:eastAsia="仿宋_GB2312" w:cs="宋体"/>
          <w:kern w:val="0"/>
          <w:szCs w:val="32"/>
        </w:rPr>
        <w:t>遴选汇总推荐表</w:t>
      </w:r>
    </w:p>
    <w:p w14:paraId="48DEF24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760" w:leftChars="500" w:hanging="160" w:hangingChars="50"/>
        <w:jc w:val="left"/>
        <w:textAlignment w:val="auto"/>
        <w:rPr>
          <w:rFonts w:ascii="仿宋_GB2312" w:hAnsi="仿宋" w:eastAsia="仿宋_GB2312" w:cs="宋体"/>
          <w:kern w:val="0"/>
          <w:szCs w:val="32"/>
        </w:rPr>
      </w:pPr>
      <w:r>
        <w:rPr>
          <w:rFonts w:hint="eastAsia" w:ascii="仿宋_GB2312" w:hAnsi="仿宋" w:eastAsia="仿宋_GB2312" w:cs="宋体"/>
          <w:kern w:val="0"/>
          <w:szCs w:val="32"/>
        </w:rPr>
        <w:t>3.</w:t>
      </w:r>
      <w:r>
        <w:rPr>
          <w:rFonts w:hint="eastAsia" w:ascii="仿宋_GB2312" w:hAnsi="仿宋" w:eastAsia="仿宋_GB2312"/>
          <w:szCs w:val="32"/>
        </w:rPr>
        <w:t>新会区</w:t>
      </w:r>
      <w:r>
        <w:rPr>
          <w:rFonts w:ascii="仿宋_GB2312" w:hAnsi="仿宋" w:eastAsia="仿宋_GB2312"/>
          <w:szCs w:val="32"/>
        </w:rPr>
        <w:t>2023年中央农业资源及生态保护补助资金（轮作休耕）项目2024年实施</w:t>
      </w:r>
      <w:r>
        <w:rPr>
          <w:rFonts w:hint="eastAsia" w:ascii="仿宋_GB2312" w:hAnsi="仿宋" w:eastAsia="仿宋_GB2312" w:cs="宋体"/>
          <w:kern w:val="0"/>
          <w:szCs w:val="32"/>
        </w:rPr>
        <w:t>示范协议（参考样本）</w:t>
      </w:r>
    </w:p>
    <w:p w14:paraId="56CED6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760" w:leftChars="500" w:hanging="160" w:hangingChars="50"/>
        <w:jc w:val="left"/>
        <w:textAlignment w:val="auto"/>
        <w:rPr>
          <w:rFonts w:ascii="仿宋_GB2312" w:hAnsi="仿宋" w:eastAsia="仿宋_GB2312" w:cs="宋体"/>
          <w:kern w:val="0"/>
          <w:szCs w:val="32"/>
        </w:rPr>
      </w:pPr>
      <w:r>
        <w:rPr>
          <w:rFonts w:hint="eastAsia" w:ascii="仿宋_GB2312" w:hAnsi="仿宋" w:eastAsia="仿宋_GB2312" w:cs="宋体"/>
          <w:kern w:val="0"/>
          <w:szCs w:val="32"/>
        </w:rPr>
        <w:t>4.</w:t>
      </w:r>
      <w:r>
        <w:rPr>
          <w:rFonts w:hint="eastAsia" w:ascii="仿宋_GB2312" w:hAnsi="仿宋" w:eastAsia="仿宋_GB2312"/>
          <w:szCs w:val="32"/>
        </w:rPr>
        <w:t>新会区</w:t>
      </w:r>
      <w:r>
        <w:rPr>
          <w:rFonts w:ascii="仿宋_GB2312" w:hAnsi="仿宋" w:eastAsia="仿宋_GB2312"/>
          <w:szCs w:val="32"/>
        </w:rPr>
        <w:t>2023年中央农业资源及生态保护补助资金（轮作休耕）项目2024年实施</w:t>
      </w:r>
      <w:r>
        <w:rPr>
          <w:rFonts w:hint="eastAsia" w:ascii="仿宋_GB2312" w:hAnsi="仿宋" w:eastAsia="仿宋_GB2312" w:cs="宋体"/>
          <w:kern w:val="0"/>
          <w:szCs w:val="32"/>
        </w:rPr>
        <w:t>社会化服务表</w:t>
      </w:r>
    </w:p>
    <w:p w14:paraId="31457E43">
      <w:pPr>
        <w:adjustRightInd w:val="0"/>
        <w:snapToGrid w:val="0"/>
        <w:spacing w:line="590" w:lineRule="exact"/>
        <w:jc w:val="left"/>
        <w:rPr>
          <w:rFonts w:hint="eastAsia" w:ascii="仿宋" w:hAnsi="仿宋" w:cs="仿宋"/>
          <w:szCs w:val="32"/>
        </w:rPr>
      </w:pPr>
    </w:p>
    <w:p w14:paraId="53825FA0">
      <w:pPr>
        <w:adjustRightInd w:val="0"/>
        <w:snapToGrid w:val="0"/>
        <w:spacing w:line="590" w:lineRule="exact"/>
        <w:rPr>
          <w:rFonts w:hint="eastAsia" w:ascii="仿宋" w:hAnsi="仿宋" w:cs="仿宋"/>
          <w:szCs w:val="32"/>
        </w:rPr>
      </w:pPr>
    </w:p>
    <w:p w14:paraId="699E226C">
      <w:pPr>
        <w:adjustRightInd w:val="0"/>
        <w:snapToGrid w:val="0"/>
        <w:spacing w:line="590" w:lineRule="exact"/>
        <w:rPr>
          <w:rFonts w:hint="eastAsia" w:ascii="仿宋" w:hAnsi="仿宋" w:cs="仿宋"/>
          <w:szCs w:val="32"/>
        </w:rPr>
      </w:pPr>
    </w:p>
    <w:p w14:paraId="6B7B61C3">
      <w:pPr>
        <w:adjustRightInd w:val="0"/>
        <w:snapToGrid w:val="0"/>
        <w:spacing w:line="590" w:lineRule="exact"/>
        <w:rPr>
          <w:rFonts w:hint="eastAsia" w:ascii="仿宋" w:hAnsi="仿宋" w:cs="仿宋"/>
          <w:szCs w:val="32"/>
        </w:rPr>
      </w:pPr>
    </w:p>
    <w:p w14:paraId="64DA0444">
      <w:pPr>
        <w:adjustRightInd w:val="0"/>
        <w:snapToGrid w:val="0"/>
        <w:spacing w:line="590" w:lineRule="exact"/>
        <w:rPr>
          <w:rFonts w:hint="eastAsia" w:ascii="仿宋" w:hAnsi="仿宋" w:cs="仿宋"/>
          <w:szCs w:val="32"/>
        </w:rPr>
        <w:sectPr>
          <w:headerReference r:id="rId3" w:type="default"/>
          <w:footerReference r:id="rId4" w:type="default"/>
          <w:pgSz w:w="11906" w:h="16838"/>
          <w:pgMar w:top="1701" w:right="1587" w:bottom="1417" w:left="1587" w:header="851" w:footer="459" w:gutter="0"/>
          <w:cols w:space="0" w:num="1"/>
          <w:docGrid w:linePitch="579" w:charSpace="0"/>
        </w:sectPr>
      </w:pPr>
    </w:p>
    <w:p w14:paraId="017C1E69">
      <w:pPr>
        <w:adjustRightInd w:val="0"/>
        <w:snapToGrid w:val="0"/>
        <w:spacing w:line="590" w:lineRule="exact"/>
        <w:rPr>
          <w:rFonts w:hint="eastAsia" w:ascii="黑体" w:hAnsi="黑体" w:eastAsia="黑体" w:cs="黑体"/>
          <w:szCs w:val="32"/>
          <w:lang w:val="en-US" w:eastAsia="zh-CN"/>
        </w:rPr>
      </w:pPr>
      <w:r>
        <w:rPr>
          <w:rFonts w:hint="eastAsia" w:ascii="黑体" w:hAnsi="黑体" w:eastAsia="黑体" w:cs="黑体"/>
          <w:szCs w:val="32"/>
          <w:lang w:val="en-US" w:eastAsia="zh-CN"/>
        </w:rPr>
        <w:t xml:space="preserve">附件1 </w:t>
      </w:r>
    </w:p>
    <w:tbl>
      <w:tblPr>
        <w:tblStyle w:val="13"/>
        <w:tblW w:w="215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1371"/>
        <w:gridCol w:w="1546"/>
        <w:gridCol w:w="1546"/>
        <w:gridCol w:w="1050"/>
        <w:gridCol w:w="1050"/>
        <w:gridCol w:w="1050"/>
        <w:gridCol w:w="1050"/>
        <w:gridCol w:w="1053"/>
        <w:gridCol w:w="1050"/>
        <w:gridCol w:w="1050"/>
        <w:gridCol w:w="1050"/>
        <w:gridCol w:w="1050"/>
        <w:gridCol w:w="1053"/>
        <w:gridCol w:w="1546"/>
        <w:gridCol w:w="1546"/>
        <w:gridCol w:w="1196"/>
        <w:gridCol w:w="1554"/>
      </w:tblGrid>
      <w:tr w14:paraId="34E82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2154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1BA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新会区2023年中央农业资源及生态保护补助资金（轮作休耕）项目2024年实施登记清册</w:t>
            </w:r>
          </w:p>
        </w:tc>
      </w:tr>
      <w:tr w14:paraId="4EF84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21540" w:type="dxa"/>
            <w:gridSpan w:val="18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0AF406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村别（盖章）：                                       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   </w:t>
            </w:r>
            <w:r>
              <w:rPr>
                <w:rStyle w:val="36"/>
                <w:rFonts w:hAnsi="仿宋"/>
                <w:lang w:val="en-US" w:eastAsia="zh-CN" w:bidi="ar"/>
              </w:rPr>
              <w:t>村经办人签字：</w:t>
            </w:r>
          </w:p>
        </w:tc>
      </w:tr>
      <w:tr w14:paraId="368E6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72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CFF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7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65C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示范地块（土名）</w:t>
            </w:r>
          </w:p>
        </w:tc>
        <w:tc>
          <w:tcPr>
            <w:tcW w:w="154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BB1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参与农民姓名或名称</w:t>
            </w:r>
          </w:p>
        </w:tc>
        <w:tc>
          <w:tcPr>
            <w:tcW w:w="154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7B5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合计参与示范面积（亩）</w:t>
            </w:r>
          </w:p>
        </w:tc>
        <w:tc>
          <w:tcPr>
            <w:tcW w:w="5253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7FF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其中：1、选择增施有机质肥品种面积（亩）</w:t>
            </w:r>
          </w:p>
        </w:tc>
        <w:tc>
          <w:tcPr>
            <w:tcW w:w="5253" w:type="dxa"/>
            <w:gridSpan w:val="5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3754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2、选择冬种旱粮的品种面积（亩）</w:t>
            </w:r>
          </w:p>
        </w:tc>
        <w:tc>
          <w:tcPr>
            <w:tcW w:w="1546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C84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是否符合技术路线情形1、2</w:t>
            </w:r>
          </w:p>
        </w:tc>
        <w:tc>
          <w:tcPr>
            <w:tcW w:w="154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3FE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是否同意由村委会签订协议</w:t>
            </w:r>
          </w:p>
        </w:tc>
        <w:tc>
          <w:tcPr>
            <w:tcW w:w="119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21E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农民签字指模确认</w:t>
            </w:r>
          </w:p>
        </w:tc>
        <w:tc>
          <w:tcPr>
            <w:tcW w:w="155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3BE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142B5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72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1BFAB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E0CB1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7E091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D836B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7E1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10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9AF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紫云英</w:t>
            </w:r>
          </w:p>
        </w:tc>
        <w:tc>
          <w:tcPr>
            <w:tcW w:w="10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BAA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油菜</w:t>
            </w:r>
          </w:p>
        </w:tc>
        <w:tc>
          <w:tcPr>
            <w:tcW w:w="10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2F8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白菜</w:t>
            </w:r>
          </w:p>
        </w:tc>
        <w:tc>
          <w:tcPr>
            <w:tcW w:w="105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5D4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菜心</w:t>
            </w:r>
          </w:p>
        </w:tc>
        <w:tc>
          <w:tcPr>
            <w:tcW w:w="10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4D0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10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749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0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952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番薯</w:t>
            </w:r>
          </w:p>
        </w:tc>
        <w:tc>
          <w:tcPr>
            <w:tcW w:w="10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6A7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马铃薯</w:t>
            </w:r>
          </w:p>
        </w:tc>
        <w:tc>
          <w:tcPr>
            <w:tcW w:w="105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EFC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大豆</w:t>
            </w:r>
          </w:p>
        </w:tc>
        <w:tc>
          <w:tcPr>
            <w:tcW w:w="1546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1C0C9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7BFBC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66D0B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C741B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AED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7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89B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B0F3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E6A1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EC9C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784B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4019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5874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E319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E712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5331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FE33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323D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10F4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9CD1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805A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E7E0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0E83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AE19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8AB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7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C51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DD71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70A9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007C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EC81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1707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B008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3C2D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F99C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51A0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8313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FDF5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4D88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3D63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E400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1541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AB18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2417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514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7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B19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B47D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A7F6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2D44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49E7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D70E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0965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DF78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FFB1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7F7E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AE95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0EFA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C9D4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43CD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D19C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F684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7835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450E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71A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7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232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4999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2C92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335E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3A61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FE70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94DA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F0D7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5988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8D84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B06A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2E55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A36D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AB88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5FFB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779F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A513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F898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C60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7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61B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0017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64DF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854F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7B54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9518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A868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6A9D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B213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29B1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679E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E275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537F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DE9B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F0EE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702E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3437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74BF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320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7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126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13E2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C7DC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E519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02E0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B777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5DEB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9D52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6238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7EC5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0FAC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9387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A4E3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170D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E804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6C0B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1AC4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5781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144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7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D20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91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03E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全村合计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DFEC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1AF4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5A9C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8274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BCD1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D137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A966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4FEA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0A43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3991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CEEB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BC9F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A512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8270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5733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68A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3646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202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村委会申报意见：</w:t>
            </w:r>
          </w:p>
        </w:tc>
        <w:tc>
          <w:tcPr>
            <w:tcW w:w="17894" w:type="dxa"/>
            <w:gridSpan w:val="15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0EC1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              </w:t>
            </w:r>
          </w:p>
        </w:tc>
      </w:tr>
      <w:tr w14:paraId="79EB5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6" w:hRule="atLeast"/>
        </w:trPr>
        <w:tc>
          <w:tcPr>
            <w:tcW w:w="3646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E79C2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94" w:type="dxa"/>
            <w:gridSpan w:val="1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8E2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                 村主任签字：</w:t>
            </w:r>
          </w:p>
        </w:tc>
      </w:tr>
      <w:tr w14:paraId="019AA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2154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3A37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注：此表是否符合技术路线情形1是指每个示范区域连片实施面积不小于（含）5亩，且不属于开展其它冬种绿肥、蔬菜项目的面积；情形2是指示范区域内必须种植二种模式之一。</w:t>
            </w:r>
          </w:p>
        </w:tc>
      </w:tr>
      <w:tr w14:paraId="429E2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2154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393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6"/>
                <w:rFonts w:hAnsi="宋体"/>
                <w:lang w:val="en-US" w:eastAsia="zh-CN" w:bidi="ar"/>
              </w:rPr>
            </w:pPr>
            <w:r>
              <w:rPr>
                <w:rStyle w:val="36"/>
                <w:rFonts w:hAnsi="宋体"/>
                <w:lang w:val="en-US" w:eastAsia="zh-CN" w:bidi="ar"/>
              </w:rPr>
              <w:t xml:space="preserve">                                                   </w:t>
            </w:r>
          </w:p>
          <w:p w14:paraId="0786D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6"/>
                <w:rFonts w:hAnsi="宋体"/>
                <w:lang w:val="en-US" w:eastAsia="zh-CN" w:bidi="ar"/>
              </w:rPr>
            </w:pPr>
          </w:p>
          <w:p w14:paraId="31BED9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36"/>
                <w:rFonts w:hAnsi="宋体"/>
                <w:lang w:val="en-US" w:eastAsia="zh-CN" w:bidi="ar"/>
              </w:rPr>
              <w:t xml:space="preserve">  申报日期：</w:t>
            </w:r>
            <w:r>
              <w:rPr>
                <w:rStyle w:val="37"/>
                <w:rFonts w:hAnsi="宋体"/>
                <w:lang w:val="en-US" w:eastAsia="zh-CN" w:bidi="ar"/>
              </w:rPr>
              <w:t>2024</w:t>
            </w:r>
            <w:r>
              <w:rPr>
                <w:rStyle w:val="36"/>
                <w:rFonts w:hAnsi="宋体"/>
                <w:lang w:val="en-US" w:eastAsia="zh-CN" w:bidi="ar"/>
              </w:rPr>
              <w:t>年    月    日</w:t>
            </w:r>
          </w:p>
        </w:tc>
      </w:tr>
    </w:tbl>
    <w:p w14:paraId="4FACFD55">
      <w:pPr>
        <w:adjustRightInd w:val="0"/>
        <w:snapToGrid w:val="0"/>
        <w:spacing w:line="590" w:lineRule="exact"/>
        <w:rPr>
          <w:rFonts w:hint="default" w:ascii="仿宋" w:hAnsi="仿宋" w:cs="仿宋"/>
          <w:szCs w:val="32"/>
          <w:lang w:val="en-US" w:eastAsia="zh-CN"/>
        </w:rPr>
      </w:pPr>
    </w:p>
    <w:p w14:paraId="39E4C01A">
      <w:pPr>
        <w:adjustRightInd w:val="0"/>
        <w:snapToGrid w:val="0"/>
        <w:spacing w:line="590" w:lineRule="exact"/>
        <w:rPr>
          <w:rFonts w:hint="default" w:ascii="仿宋" w:hAnsi="仿宋" w:cs="仿宋"/>
          <w:szCs w:val="32"/>
          <w:lang w:val="en-US" w:eastAsia="zh-CN"/>
        </w:rPr>
      </w:pPr>
    </w:p>
    <w:p w14:paraId="0B671329">
      <w:pPr>
        <w:adjustRightInd w:val="0"/>
        <w:snapToGrid w:val="0"/>
        <w:spacing w:line="590" w:lineRule="exact"/>
        <w:rPr>
          <w:rFonts w:hint="eastAsia" w:ascii="黑体" w:hAnsi="黑体" w:eastAsia="黑体" w:cs="黑体"/>
          <w:szCs w:val="32"/>
          <w:lang w:val="en-US" w:eastAsia="zh-CN"/>
        </w:rPr>
      </w:pPr>
      <w:r>
        <w:rPr>
          <w:rFonts w:hint="eastAsia" w:ascii="黑体" w:hAnsi="黑体" w:eastAsia="黑体" w:cs="黑体"/>
          <w:szCs w:val="32"/>
          <w:lang w:val="en-US" w:eastAsia="zh-CN"/>
        </w:rPr>
        <w:t>附件2</w:t>
      </w:r>
    </w:p>
    <w:tbl>
      <w:tblPr>
        <w:tblStyle w:val="13"/>
        <w:tblW w:w="209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1401"/>
        <w:gridCol w:w="1580"/>
        <w:gridCol w:w="1580"/>
        <w:gridCol w:w="1073"/>
        <w:gridCol w:w="1073"/>
        <w:gridCol w:w="1073"/>
        <w:gridCol w:w="1073"/>
        <w:gridCol w:w="1076"/>
        <w:gridCol w:w="1073"/>
        <w:gridCol w:w="1073"/>
        <w:gridCol w:w="1073"/>
        <w:gridCol w:w="1073"/>
        <w:gridCol w:w="1076"/>
        <w:gridCol w:w="1580"/>
        <w:gridCol w:w="1580"/>
        <w:gridCol w:w="1738"/>
      </w:tblGrid>
      <w:tr w14:paraId="35A69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</w:trPr>
        <w:tc>
          <w:tcPr>
            <w:tcW w:w="2094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C65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新会区2023年中央农业资源及生态保护补助资金（轮作休耕）项目2024年实施遴选汇总推荐表</w:t>
            </w:r>
          </w:p>
        </w:tc>
      </w:tr>
      <w:tr w14:paraId="3C39D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20940" w:type="dxa"/>
            <w:gridSpan w:val="17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0DB536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推荐单位（公章）：镇（街）农业农村办公室                                   农办经办人签字：</w:t>
            </w:r>
          </w:p>
        </w:tc>
      </w:tr>
      <w:tr w14:paraId="2E00C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74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97E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0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5AD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示范地块（土名）</w:t>
            </w:r>
          </w:p>
        </w:tc>
        <w:tc>
          <w:tcPr>
            <w:tcW w:w="15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D47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参与农民姓名或名称</w:t>
            </w:r>
          </w:p>
        </w:tc>
        <w:tc>
          <w:tcPr>
            <w:tcW w:w="15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8C1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合计参与示范面积（亩）</w:t>
            </w:r>
          </w:p>
        </w:tc>
        <w:tc>
          <w:tcPr>
            <w:tcW w:w="5368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72E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其中：1、选择增施有机质肥品种面积（亩）</w:t>
            </w:r>
          </w:p>
        </w:tc>
        <w:tc>
          <w:tcPr>
            <w:tcW w:w="5368" w:type="dxa"/>
            <w:gridSpan w:val="5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4E2DA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2、选择冬种旱粮的品种面积（亩）</w:t>
            </w:r>
          </w:p>
        </w:tc>
        <w:tc>
          <w:tcPr>
            <w:tcW w:w="158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9C3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是否符合技术路线情形1、2</w:t>
            </w:r>
          </w:p>
        </w:tc>
        <w:tc>
          <w:tcPr>
            <w:tcW w:w="15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001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是否同意由村委会签订协议</w:t>
            </w:r>
          </w:p>
        </w:tc>
        <w:tc>
          <w:tcPr>
            <w:tcW w:w="173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751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2EC6A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7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DF60B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D1B25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42FE3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D62FD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FD8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10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025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紫云英</w:t>
            </w:r>
          </w:p>
        </w:tc>
        <w:tc>
          <w:tcPr>
            <w:tcW w:w="10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1DF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油菜</w:t>
            </w:r>
          </w:p>
        </w:tc>
        <w:tc>
          <w:tcPr>
            <w:tcW w:w="10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8FD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白菜</w:t>
            </w:r>
          </w:p>
        </w:tc>
        <w:tc>
          <w:tcPr>
            <w:tcW w:w="10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6A4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菜心</w:t>
            </w:r>
          </w:p>
        </w:tc>
        <w:tc>
          <w:tcPr>
            <w:tcW w:w="10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4EA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10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A9B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0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40E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番薯</w:t>
            </w:r>
          </w:p>
        </w:tc>
        <w:tc>
          <w:tcPr>
            <w:tcW w:w="10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0E0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马铃薯</w:t>
            </w:r>
          </w:p>
        </w:tc>
        <w:tc>
          <w:tcPr>
            <w:tcW w:w="10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BD3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大豆</w:t>
            </w:r>
          </w:p>
        </w:tc>
        <w:tc>
          <w:tcPr>
            <w:tcW w:w="158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99934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5EC1C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98D89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B13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7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152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FBA5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37D5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B3B7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4AEE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823D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9043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C592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BA3F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C71D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C5D9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C7DB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FA6C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08DC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6DC6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F841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7A5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同时提交相关佐证材料（盖公章的扫描件各一份）：①有关村的项目登记清册和项目遴选汇总推荐表；②遴选结果在镇、村二级的公示照片。</w:t>
            </w:r>
          </w:p>
        </w:tc>
      </w:tr>
      <w:tr w14:paraId="1D3ED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7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3BB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36C6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B216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5C82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A21F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D735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BB19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C2AD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73E7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430F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2644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9C2C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048A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67B5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62C9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AC37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91BC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FB7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7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3E7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54B3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D9A3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285F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1AFF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60B0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E137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72C7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FA44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70BE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88F9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0BB0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9265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CB22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8085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7BE6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AC57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F99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7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4BA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9321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0DE6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CE40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69A5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4711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F7C4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8C41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D6F8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4217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F851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08FF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977A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324B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4F73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BCF3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6DCD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F96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7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428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F117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555A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FE6B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E9C5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88DD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1674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26FE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022A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5030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CAC5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B1AC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14F8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2BA5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49AE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EEFE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4564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95F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7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131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471A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7057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8098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4239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B1E9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D766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18A8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1F5D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A089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E4DB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43AA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4E1B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26F7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EF09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6E75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5125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4EF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7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4DB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9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0A4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全镇（街）合计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3721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9E56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27E4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7317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EC29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AF5C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EEC6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EBA5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B876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CC19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BCC6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93DC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D5F9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0913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C25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2094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0E45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注：此表是否符合技术路线情形1是指每个示范区域连片实施面积不小于（含）5亩，且不属于开展其它冬种绿肥、蔬菜项目的面积；情形2是指示范区域内必须种植二种模式之一。</w:t>
            </w:r>
          </w:p>
        </w:tc>
      </w:tr>
      <w:tr w14:paraId="0685A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2094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730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                                     农办主任签字：</w:t>
            </w:r>
          </w:p>
        </w:tc>
      </w:tr>
      <w:tr w14:paraId="47EF3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2094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477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                                                推荐日期： 2024年  月  日</w:t>
            </w:r>
          </w:p>
        </w:tc>
      </w:tr>
    </w:tbl>
    <w:p w14:paraId="1DAC1084">
      <w:pPr>
        <w:adjustRightInd w:val="0"/>
        <w:snapToGrid w:val="0"/>
        <w:spacing w:line="590" w:lineRule="exact"/>
        <w:rPr>
          <w:rFonts w:hint="default" w:ascii="仿宋" w:hAnsi="仿宋" w:cs="仿宋"/>
          <w:szCs w:val="32"/>
          <w:lang w:val="en-US" w:eastAsia="zh-CN"/>
        </w:rPr>
      </w:pPr>
    </w:p>
    <w:p w14:paraId="67BDDCEB">
      <w:pPr>
        <w:adjustRightInd w:val="0"/>
        <w:snapToGrid w:val="0"/>
        <w:spacing w:line="590" w:lineRule="exact"/>
        <w:rPr>
          <w:rFonts w:hint="default" w:ascii="仿宋" w:hAnsi="仿宋" w:cs="仿宋"/>
          <w:szCs w:val="32"/>
          <w:lang w:val="en-US" w:eastAsia="zh-CN"/>
        </w:rPr>
      </w:pPr>
    </w:p>
    <w:p w14:paraId="702FF3BB">
      <w:pPr>
        <w:adjustRightInd w:val="0"/>
        <w:snapToGrid w:val="0"/>
        <w:spacing w:line="590" w:lineRule="exact"/>
        <w:rPr>
          <w:rFonts w:hint="default" w:ascii="仿宋" w:hAnsi="仿宋" w:cs="仿宋"/>
          <w:szCs w:val="32"/>
          <w:lang w:val="en-US" w:eastAsia="zh-CN"/>
        </w:rPr>
        <w:sectPr>
          <w:pgSz w:w="23811" w:h="16838" w:orient="landscape"/>
          <w:pgMar w:top="1587" w:right="1701" w:bottom="1587" w:left="1417" w:header="851" w:footer="459" w:gutter="0"/>
          <w:cols w:space="0" w:num="1"/>
          <w:docGrid w:linePitch="579" w:charSpace="0"/>
        </w:sectPr>
      </w:pPr>
    </w:p>
    <w:p w14:paraId="28C7D423">
      <w:pPr>
        <w:adjustRightInd w:val="0"/>
        <w:snapToGrid w:val="0"/>
        <w:spacing w:line="590" w:lineRule="exact"/>
        <w:rPr>
          <w:rFonts w:hint="eastAsia" w:ascii="黑体" w:hAnsi="黑体" w:eastAsia="黑体" w:cs="黑体"/>
          <w:szCs w:val="32"/>
          <w:lang w:val="en-US" w:eastAsia="zh-CN"/>
        </w:rPr>
      </w:pPr>
      <w:r>
        <w:rPr>
          <w:rFonts w:hint="eastAsia" w:ascii="黑体" w:hAnsi="黑体" w:eastAsia="黑体" w:cs="黑体"/>
          <w:szCs w:val="32"/>
          <w:lang w:val="en-US" w:eastAsia="zh-CN"/>
        </w:rPr>
        <w:t xml:space="preserve">附件3 </w:t>
      </w:r>
    </w:p>
    <w:p w14:paraId="12E8997B">
      <w:pPr>
        <w:adjustRightInd w:val="0"/>
        <w:snapToGrid w:val="0"/>
        <w:spacing w:line="59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新会区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2023年中央农业资源及生态保护</w:t>
      </w:r>
    </w:p>
    <w:p w14:paraId="54CB533E">
      <w:pPr>
        <w:adjustRightInd w:val="0"/>
        <w:snapToGrid w:val="0"/>
        <w:spacing w:line="59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z w:val="44"/>
          <w:szCs w:val="44"/>
        </w:rPr>
        <w:t>补助资金（轮作休耕）项目2024年</w:t>
      </w:r>
    </w:p>
    <w:p w14:paraId="7668509D">
      <w:pPr>
        <w:adjustRightInd w:val="0"/>
        <w:snapToGrid w:val="0"/>
        <w:spacing w:line="59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ascii="方正小标宋简体" w:hAnsi="方正小标宋简体" w:eastAsia="方正小标宋简体" w:cs="方正小标宋简体"/>
          <w:sz w:val="44"/>
          <w:szCs w:val="44"/>
        </w:rPr>
        <w:t>实施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示范协议</w:t>
      </w:r>
    </w:p>
    <w:p w14:paraId="71493135">
      <w:pPr>
        <w:adjustRightInd w:val="0"/>
        <w:snapToGrid w:val="0"/>
        <w:spacing w:line="590" w:lineRule="exact"/>
        <w:jc w:val="center"/>
        <w:rPr>
          <w:rFonts w:ascii="楷体_GB2312" w:hAnsi="楷体_GB2312" w:eastAsia="楷体_GB2312" w:cs="楷体_GB2312"/>
          <w:szCs w:val="32"/>
        </w:rPr>
      </w:pPr>
      <w:r>
        <w:rPr>
          <w:rFonts w:hint="eastAsia" w:ascii="楷体_GB2312" w:hAnsi="楷体_GB2312" w:eastAsia="楷体_GB2312" w:cs="楷体_GB2312"/>
          <w:szCs w:val="32"/>
        </w:rPr>
        <w:t>（参考样本）</w:t>
      </w:r>
    </w:p>
    <w:p w14:paraId="41168B01">
      <w:pPr>
        <w:adjustRightInd w:val="0"/>
        <w:snapToGrid w:val="0"/>
        <w:spacing w:line="590" w:lineRule="exact"/>
        <w:jc w:val="center"/>
        <w:rPr>
          <w:rFonts w:ascii="仿宋" w:hAnsi="仿宋" w:cs="仿宋"/>
          <w:szCs w:val="32"/>
        </w:rPr>
      </w:pPr>
    </w:p>
    <w:p w14:paraId="74EE7905">
      <w:pPr>
        <w:adjustRightInd w:val="0"/>
        <w:snapToGrid w:val="0"/>
        <w:spacing w:line="560" w:lineRule="exact"/>
        <w:rPr>
          <w:rFonts w:ascii="仿宋_GB2312" w:hAnsi="仿宋" w:eastAsia="仿宋_GB2312" w:cs="仿宋"/>
          <w:szCs w:val="32"/>
        </w:rPr>
      </w:pPr>
      <w:r>
        <w:rPr>
          <w:rFonts w:hint="eastAsia" w:ascii="仿宋_GB2312" w:hAnsi="仿宋" w:eastAsia="仿宋_GB2312" w:cs="仿宋"/>
          <w:szCs w:val="32"/>
        </w:rPr>
        <w:t>甲方：镇（街）农业农村办公室</w:t>
      </w:r>
    </w:p>
    <w:p w14:paraId="76B6527E">
      <w:pPr>
        <w:adjustRightInd w:val="0"/>
        <w:snapToGrid w:val="0"/>
        <w:spacing w:line="560" w:lineRule="exact"/>
        <w:rPr>
          <w:rFonts w:ascii="仿宋_GB2312" w:hAnsi="仿宋" w:eastAsia="仿宋_GB2312" w:cs="仿宋"/>
          <w:szCs w:val="32"/>
          <w:u w:val="single"/>
        </w:rPr>
      </w:pPr>
      <w:r>
        <w:rPr>
          <w:rFonts w:hint="eastAsia" w:ascii="仿宋_GB2312" w:hAnsi="仿宋" w:eastAsia="仿宋_GB2312" w:cs="仿宋"/>
          <w:szCs w:val="32"/>
        </w:rPr>
        <w:t xml:space="preserve">乙方：村民委员会（含参与农民）   </w:t>
      </w:r>
    </w:p>
    <w:p w14:paraId="2A712062">
      <w:pPr>
        <w:adjustRightInd w:val="0"/>
        <w:snapToGrid w:val="0"/>
        <w:spacing w:line="560" w:lineRule="exact"/>
        <w:rPr>
          <w:rFonts w:ascii="仿宋_GB2312" w:hAnsi="仿宋" w:eastAsia="仿宋_GB2312" w:cs="仿宋"/>
          <w:szCs w:val="32"/>
        </w:rPr>
      </w:pPr>
    </w:p>
    <w:p w14:paraId="50DC3685">
      <w:pPr>
        <w:adjustRightInd w:val="0"/>
        <w:snapToGrid w:val="0"/>
        <w:spacing w:line="560" w:lineRule="exact"/>
        <w:ind w:firstLine="640" w:firstLineChars="200"/>
        <w:rPr>
          <w:rFonts w:ascii="仿宋_GB2312" w:hAnsi="仿宋" w:eastAsia="仿宋_GB2312" w:cs="仿宋"/>
          <w:szCs w:val="32"/>
        </w:rPr>
      </w:pPr>
      <w:r>
        <w:rPr>
          <w:rFonts w:hint="eastAsia" w:ascii="仿宋_GB2312" w:hAnsi="仿宋" w:eastAsia="仿宋_GB2312" w:cs="仿宋"/>
          <w:szCs w:val="32"/>
        </w:rPr>
        <w:t>为切实做好新会区2023年中央农业资源及生态保护补助资金（轮作休耕）项目2024年实施示范工作，按《新会区2023年中央农业资源及生态保护补助资金（轮作休耕）项目2024年实施方案》等要求，结合实际，经甲乙双方商议，协议如下：</w:t>
      </w:r>
    </w:p>
    <w:p w14:paraId="780E557C">
      <w:pPr>
        <w:widowControl/>
        <w:numPr>
          <w:ilvl w:val="0"/>
          <w:numId w:val="2"/>
        </w:numPr>
        <w:spacing w:line="560" w:lineRule="exact"/>
        <w:ind w:firstLine="640" w:firstLineChars="200"/>
        <w:rPr>
          <w:rFonts w:ascii="仿宋_GB2312" w:hAnsi="仿宋" w:eastAsia="仿宋_GB2312" w:cs="仿宋"/>
          <w:szCs w:val="32"/>
        </w:rPr>
      </w:pPr>
      <w:r>
        <w:rPr>
          <w:rFonts w:hint="eastAsia" w:ascii="仿宋_GB2312" w:hAnsi="仿宋" w:eastAsia="仿宋_GB2312" w:cs="仿宋"/>
          <w:szCs w:val="32"/>
        </w:rPr>
        <w:t>建设面积与地块。乙方自愿参加，将位于</w:t>
      </w:r>
      <w:r>
        <w:rPr>
          <w:rFonts w:hint="eastAsia" w:ascii="仿宋_GB2312" w:hAnsi="仿宋" w:eastAsia="仿宋_GB2312" w:cs="仿宋"/>
          <w:szCs w:val="32"/>
          <w:u w:val="single"/>
        </w:rPr>
        <w:t xml:space="preserve">      </w:t>
      </w:r>
      <w:r>
        <w:rPr>
          <w:rFonts w:hint="eastAsia" w:ascii="仿宋_GB2312" w:hAnsi="仿宋" w:eastAsia="仿宋_GB2312" w:cs="仿宋"/>
          <w:szCs w:val="32"/>
        </w:rPr>
        <w:t>等（土名）共</w:t>
      </w:r>
      <w:r>
        <w:rPr>
          <w:rFonts w:hint="eastAsia" w:ascii="仿宋_GB2312" w:hAnsi="仿宋" w:eastAsia="仿宋_GB2312" w:cs="仿宋"/>
          <w:szCs w:val="32"/>
          <w:u w:val="single"/>
        </w:rPr>
        <w:t xml:space="preserve">    </w:t>
      </w:r>
      <w:r>
        <w:rPr>
          <w:rFonts w:hint="eastAsia" w:ascii="仿宋_GB2312" w:hAnsi="仿宋" w:eastAsia="仿宋_GB2312" w:cs="仿宋"/>
          <w:szCs w:val="32"/>
        </w:rPr>
        <w:t>亩2024年双季稻田地块，分别开展“双季稻+冬种紫云英”</w:t>
      </w:r>
      <w:r>
        <w:rPr>
          <w:rFonts w:hint="eastAsia" w:ascii="仿宋_GB2312" w:hAnsi="仿宋" w:eastAsia="仿宋_GB2312" w:cs="仿宋"/>
          <w:szCs w:val="32"/>
          <w:u w:val="single"/>
        </w:rPr>
        <w:t xml:space="preserve">    </w:t>
      </w:r>
      <w:r>
        <w:rPr>
          <w:rFonts w:hint="eastAsia" w:ascii="仿宋_GB2312" w:hAnsi="仿宋" w:eastAsia="仿宋_GB2312" w:cs="仿宋"/>
          <w:szCs w:val="32"/>
        </w:rPr>
        <w:t>亩；“双季稻+冬种蔬菜（油菜或白菜、菜心）”</w:t>
      </w:r>
    </w:p>
    <w:p w14:paraId="752B85C0">
      <w:pPr>
        <w:widowControl/>
        <w:numPr>
          <w:ilvl w:val="0"/>
          <w:numId w:val="0"/>
        </w:numPr>
        <w:spacing w:line="560" w:lineRule="exact"/>
        <w:rPr>
          <w:rFonts w:hint="eastAsia" w:ascii="仿宋_GB2312" w:hAnsi="仿宋" w:eastAsia="仿宋_GB2312" w:cs="仿宋"/>
          <w:szCs w:val="32"/>
        </w:rPr>
      </w:pPr>
      <w:r>
        <w:rPr>
          <w:rFonts w:hint="eastAsia" w:ascii="仿宋_GB2312" w:hAnsi="仿宋" w:eastAsia="仿宋_GB2312" w:cs="仿宋"/>
          <w:szCs w:val="32"/>
          <w:u w:val="single"/>
        </w:rPr>
        <w:t xml:space="preserve">    </w:t>
      </w:r>
      <w:r>
        <w:rPr>
          <w:rFonts w:hint="eastAsia" w:ascii="仿宋_GB2312" w:hAnsi="仿宋" w:eastAsia="仿宋_GB2312" w:cs="仿宋"/>
          <w:szCs w:val="32"/>
        </w:rPr>
        <w:t>亩；“双季稻+冬种旱粮（玉米、</w:t>
      </w:r>
      <w:r>
        <w:rPr>
          <w:rFonts w:ascii="仿宋_GB2312" w:hAnsi="仿宋" w:eastAsia="仿宋_GB2312" w:cs="仿宋"/>
          <w:szCs w:val="32"/>
        </w:rPr>
        <w:t>番薯、马铃薯</w:t>
      </w:r>
      <w:r>
        <w:rPr>
          <w:rFonts w:hint="eastAsia" w:ascii="仿宋_GB2312" w:hAnsi="仿宋" w:eastAsia="仿宋_GB2312" w:cs="仿宋"/>
          <w:szCs w:val="32"/>
        </w:rPr>
        <w:t>或</w:t>
      </w:r>
      <w:r>
        <w:rPr>
          <w:rFonts w:ascii="仿宋_GB2312" w:hAnsi="仿宋" w:eastAsia="仿宋_GB2312" w:cs="仿宋"/>
          <w:szCs w:val="32"/>
        </w:rPr>
        <w:t>大豆</w:t>
      </w:r>
      <w:r>
        <w:rPr>
          <w:rFonts w:hint="eastAsia" w:ascii="仿宋_GB2312" w:hAnsi="仿宋" w:eastAsia="仿宋_GB2312" w:cs="仿宋"/>
          <w:szCs w:val="32"/>
        </w:rPr>
        <w:t>）”</w:t>
      </w:r>
    </w:p>
    <w:p w14:paraId="239687D0">
      <w:pPr>
        <w:widowControl/>
        <w:numPr>
          <w:ilvl w:val="0"/>
          <w:numId w:val="0"/>
        </w:numPr>
        <w:spacing w:line="560" w:lineRule="exact"/>
        <w:rPr>
          <w:rFonts w:ascii="仿宋_GB2312" w:hAnsi="仿宋" w:eastAsia="仿宋_GB2312" w:cs="仿宋"/>
          <w:szCs w:val="32"/>
        </w:rPr>
      </w:pPr>
      <w:r>
        <w:rPr>
          <w:rFonts w:hint="eastAsia" w:ascii="仿宋_GB2312" w:hAnsi="仿宋" w:eastAsia="仿宋_GB2312" w:cs="仿宋"/>
          <w:szCs w:val="32"/>
          <w:u w:val="single"/>
        </w:rPr>
        <w:t xml:space="preserve">    </w:t>
      </w:r>
      <w:r>
        <w:rPr>
          <w:rFonts w:hint="eastAsia" w:ascii="仿宋_GB2312" w:hAnsi="仿宋" w:eastAsia="仿宋_GB2312" w:cs="仿宋"/>
          <w:szCs w:val="32"/>
        </w:rPr>
        <w:t>亩；合计参与农民</w:t>
      </w:r>
      <w:r>
        <w:rPr>
          <w:rFonts w:hint="eastAsia" w:ascii="仿宋_GB2312" w:hAnsi="仿宋" w:eastAsia="仿宋_GB2312" w:cs="仿宋"/>
          <w:szCs w:val="32"/>
          <w:u w:val="single"/>
        </w:rPr>
        <w:t xml:space="preserve">     </w:t>
      </w:r>
      <w:r>
        <w:rPr>
          <w:rFonts w:hint="eastAsia" w:ascii="仿宋_GB2312" w:hAnsi="仿宋" w:eastAsia="仿宋_GB2312" w:cs="仿宋"/>
          <w:szCs w:val="32"/>
        </w:rPr>
        <w:t>户[详见《</w:t>
      </w:r>
      <w:r>
        <w:rPr>
          <w:rFonts w:hint="eastAsia" w:ascii="仿宋_GB2312" w:hAnsi="仿宋" w:eastAsia="仿宋_GB2312"/>
          <w:szCs w:val="32"/>
        </w:rPr>
        <w:t>新会区</w:t>
      </w:r>
      <w:r>
        <w:rPr>
          <w:rFonts w:ascii="仿宋_GB2312" w:hAnsi="仿宋" w:eastAsia="仿宋_GB2312"/>
          <w:szCs w:val="32"/>
        </w:rPr>
        <w:t>2023年中央农业资源及生态保护补助资金（轮作休耕）项目2024年实施</w:t>
      </w:r>
      <w:r>
        <w:rPr>
          <w:rFonts w:hint="eastAsia" w:ascii="仿宋_GB2312" w:hAnsi="仿宋" w:eastAsia="仿宋_GB2312" w:cs="宋体"/>
          <w:kern w:val="0"/>
          <w:szCs w:val="32"/>
        </w:rPr>
        <w:t>登记清册</w:t>
      </w:r>
      <w:r>
        <w:rPr>
          <w:rFonts w:hint="eastAsia" w:ascii="仿宋_GB2312" w:hAnsi="仿宋" w:eastAsia="仿宋_GB2312" w:cs="仿宋"/>
          <w:szCs w:val="32"/>
        </w:rPr>
        <w:t>》]。</w:t>
      </w:r>
    </w:p>
    <w:p w14:paraId="27C1CCC5">
      <w:pPr>
        <w:adjustRightInd w:val="0"/>
        <w:snapToGrid w:val="0"/>
        <w:spacing w:line="560" w:lineRule="exact"/>
        <w:ind w:firstLine="640" w:firstLineChars="200"/>
        <w:rPr>
          <w:rFonts w:ascii="仿宋_GB2312" w:hAnsi="仿宋" w:eastAsia="仿宋_GB2312" w:cs="仿宋"/>
          <w:szCs w:val="32"/>
        </w:rPr>
      </w:pPr>
      <w:r>
        <w:rPr>
          <w:rFonts w:hint="eastAsia" w:ascii="仿宋_GB2312" w:hAnsi="仿宋" w:eastAsia="仿宋_GB2312" w:cs="仿宋"/>
          <w:szCs w:val="32"/>
        </w:rPr>
        <w:t>二、时间与期限。2024年晚稻开始，至冬种收获轮作周期结束，为期半年度。（2024年9月至2025年3月）</w:t>
      </w:r>
    </w:p>
    <w:p w14:paraId="25854646">
      <w:pPr>
        <w:adjustRightInd w:val="0"/>
        <w:snapToGrid w:val="0"/>
        <w:spacing w:line="560" w:lineRule="exact"/>
        <w:ind w:firstLine="640" w:firstLineChars="200"/>
        <w:rPr>
          <w:rFonts w:ascii="仿宋_GB2312" w:hAnsi="仿宋" w:eastAsia="仿宋_GB2312" w:cs="仿宋"/>
          <w:szCs w:val="32"/>
        </w:rPr>
      </w:pPr>
      <w:r>
        <w:rPr>
          <w:rFonts w:hint="eastAsia" w:ascii="仿宋_GB2312" w:hAnsi="仿宋" w:eastAsia="仿宋_GB2312" w:cs="仿宋"/>
          <w:szCs w:val="32"/>
        </w:rPr>
        <w:t>三、技术要求。乙方愿意按甲方和中标供应商技术要求组织实施，接受服从甲方和中标供应商的监管、技术指导，接受甲方与上级部门的验收检查。示范地块同意种植本项目的</w:t>
      </w:r>
      <w:r>
        <w:rPr>
          <w:rFonts w:hint="eastAsia" w:ascii="仿宋_GB2312" w:hAnsi="仿宋" w:eastAsia="仿宋_GB2312" w:cs="宋体"/>
          <w:kern w:val="0"/>
          <w:szCs w:val="32"/>
        </w:rPr>
        <w:t>冬种紫云英、蔬菜或旱粮</w:t>
      </w:r>
      <w:r>
        <w:rPr>
          <w:rFonts w:hint="eastAsia" w:ascii="仿宋_GB2312" w:hAnsi="仿宋" w:eastAsia="仿宋_GB2312" w:cs="仿宋"/>
          <w:szCs w:val="32"/>
        </w:rPr>
        <w:t>。</w:t>
      </w:r>
    </w:p>
    <w:p w14:paraId="5773A627">
      <w:pPr>
        <w:adjustRightInd w:val="0"/>
        <w:snapToGrid w:val="0"/>
        <w:spacing w:line="560" w:lineRule="exact"/>
        <w:ind w:firstLine="640" w:firstLineChars="200"/>
        <w:rPr>
          <w:rFonts w:ascii="仿宋_GB2312" w:hAnsi="仿宋" w:eastAsia="仿宋_GB2312" w:cs="仿宋"/>
          <w:szCs w:val="32"/>
        </w:rPr>
      </w:pPr>
      <w:r>
        <w:rPr>
          <w:rFonts w:hint="eastAsia" w:ascii="仿宋_GB2312" w:hAnsi="仿宋" w:eastAsia="仿宋_GB2312" w:cs="仿宋"/>
          <w:szCs w:val="32"/>
        </w:rPr>
        <w:t>四、实施方式。</w:t>
      </w:r>
    </w:p>
    <w:p w14:paraId="4E0F31E2">
      <w:pPr>
        <w:adjustRightInd w:val="0"/>
        <w:snapToGrid w:val="0"/>
        <w:spacing w:line="560" w:lineRule="exact"/>
        <w:ind w:firstLine="640" w:firstLineChars="200"/>
        <w:rPr>
          <w:rFonts w:ascii="仿宋_GB2312" w:hAnsi="仿宋" w:eastAsia="仿宋_GB2312" w:cs="仿宋"/>
          <w:szCs w:val="32"/>
        </w:rPr>
      </w:pPr>
      <w:r>
        <w:rPr>
          <w:rFonts w:hint="eastAsia" w:ascii="仿宋_GB2312" w:hAnsi="仿宋" w:eastAsia="仿宋_GB2312" w:cs="仿宋"/>
          <w:szCs w:val="32"/>
        </w:rPr>
        <w:t>（一）乙方同意</w:t>
      </w:r>
      <w:r>
        <w:rPr>
          <w:rFonts w:hint="eastAsia" w:ascii="仿宋_GB2312" w:hAnsi="仿宋" w:eastAsia="仿宋_GB2312" w:cs="仿宋"/>
          <w:kern w:val="0"/>
          <w:szCs w:val="32"/>
        </w:rPr>
        <w:t>自主种植早、晚稻和</w:t>
      </w:r>
      <w:r>
        <w:rPr>
          <w:rFonts w:hint="eastAsia" w:ascii="仿宋_GB2312" w:hAnsi="仿宋" w:eastAsia="仿宋_GB2312" w:cs="宋体"/>
          <w:kern w:val="0"/>
          <w:szCs w:val="32"/>
        </w:rPr>
        <w:t>冬种</w:t>
      </w:r>
      <w:r>
        <w:rPr>
          <w:rFonts w:hint="eastAsia" w:ascii="仿宋_GB2312" w:hAnsi="仿宋" w:eastAsia="仿宋_GB2312" w:cs="仿宋"/>
          <w:szCs w:val="32"/>
        </w:rPr>
        <w:t>本项目的</w:t>
      </w:r>
      <w:r>
        <w:rPr>
          <w:rFonts w:hint="eastAsia" w:ascii="仿宋_GB2312" w:hAnsi="仿宋" w:eastAsia="仿宋_GB2312" w:cs="宋体"/>
          <w:kern w:val="0"/>
          <w:szCs w:val="32"/>
        </w:rPr>
        <w:t>冬种紫云英、蔬菜或旱粮</w:t>
      </w:r>
      <w:r>
        <w:rPr>
          <w:rFonts w:hint="eastAsia" w:ascii="仿宋_GB2312" w:hAnsi="仿宋" w:eastAsia="仿宋_GB2312" w:cs="仿宋"/>
          <w:szCs w:val="32"/>
        </w:rPr>
        <w:t>。</w:t>
      </w:r>
    </w:p>
    <w:p w14:paraId="4D9B5EF2">
      <w:pPr>
        <w:adjustRightInd w:val="0"/>
        <w:snapToGrid w:val="0"/>
        <w:spacing w:line="560" w:lineRule="exact"/>
        <w:ind w:firstLine="640" w:firstLineChars="200"/>
        <w:rPr>
          <w:rFonts w:ascii="仿宋_GB2312" w:hAnsi="仿宋" w:eastAsia="仿宋_GB2312" w:cs="仿宋"/>
          <w:szCs w:val="32"/>
        </w:rPr>
      </w:pPr>
      <w:r>
        <w:rPr>
          <w:rFonts w:hint="eastAsia" w:ascii="仿宋_GB2312" w:hAnsi="仿宋" w:eastAsia="仿宋_GB2312" w:cs="仿宋"/>
          <w:kern w:val="0"/>
          <w:szCs w:val="32"/>
        </w:rPr>
        <w:t>（二）在</w:t>
      </w:r>
      <w:r>
        <w:rPr>
          <w:rFonts w:hint="eastAsia" w:ascii="仿宋_GB2312" w:hAnsi="仿宋" w:eastAsia="仿宋_GB2312" w:cs="宋体"/>
          <w:kern w:val="0"/>
          <w:szCs w:val="32"/>
        </w:rPr>
        <w:t>冬种紫云英、蔬菜或旱粮</w:t>
      </w:r>
      <w:r>
        <w:rPr>
          <w:rFonts w:hint="eastAsia" w:ascii="仿宋_GB2312" w:hAnsi="仿宋" w:eastAsia="仿宋_GB2312" w:cs="仿宋"/>
          <w:kern w:val="0"/>
          <w:szCs w:val="32"/>
        </w:rPr>
        <w:t>过程中，乙方同意由区农业农村局确定的中标供应商，按有关社会化服务事项指标，对乙方示范区域地块开展物化补助等社会化服务。</w:t>
      </w:r>
    </w:p>
    <w:p w14:paraId="18FE988B">
      <w:pPr>
        <w:adjustRightInd w:val="0"/>
        <w:snapToGrid w:val="0"/>
        <w:spacing w:line="560" w:lineRule="exact"/>
        <w:ind w:firstLine="640" w:firstLineChars="200"/>
        <w:rPr>
          <w:rFonts w:ascii="仿宋_GB2312" w:hAnsi="仿宋" w:eastAsia="仿宋_GB2312" w:cs="仿宋"/>
          <w:szCs w:val="32"/>
        </w:rPr>
      </w:pPr>
      <w:r>
        <w:rPr>
          <w:rFonts w:hint="eastAsia" w:ascii="仿宋_GB2312" w:hAnsi="仿宋" w:eastAsia="仿宋_GB2312" w:cs="仿宋"/>
          <w:szCs w:val="32"/>
        </w:rPr>
        <w:t>五、技术指导。甲方和中标供应商负责对乙方提供技术指导服务。</w:t>
      </w:r>
    </w:p>
    <w:p w14:paraId="6A506142">
      <w:pPr>
        <w:adjustRightInd w:val="0"/>
        <w:snapToGrid w:val="0"/>
        <w:spacing w:line="560" w:lineRule="exact"/>
        <w:ind w:firstLine="640" w:firstLineChars="200"/>
        <w:rPr>
          <w:rFonts w:ascii="仿宋_GB2312" w:hAnsi="仿宋" w:eastAsia="仿宋_GB2312" w:cs="仿宋"/>
          <w:szCs w:val="32"/>
        </w:rPr>
      </w:pPr>
      <w:r>
        <w:rPr>
          <w:rFonts w:hint="eastAsia" w:ascii="仿宋_GB2312" w:hAnsi="仿宋" w:eastAsia="仿宋_GB2312" w:cs="仿宋"/>
          <w:szCs w:val="32"/>
        </w:rPr>
        <w:t>六、本协议自甲乙双方签字或盖章之日起生效。轮作期间因国家政策发生重大变化或调整导致不能执行本协议的，本协议自然终止或解除。</w:t>
      </w:r>
    </w:p>
    <w:p w14:paraId="12E2C2B2">
      <w:pPr>
        <w:adjustRightInd w:val="0"/>
        <w:snapToGrid w:val="0"/>
        <w:spacing w:line="560" w:lineRule="exact"/>
        <w:ind w:firstLine="640" w:firstLineChars="200"/>
        <w:rPr>
          <w:rFonts w:ascii="仿宋_GB2312" w:hAnsi="仿宋" w:eastAsia="仿宋_GB2312" w:cs="仿宋"/>
          <w:szCs w:val="32"/>
        </w:rPr>
      </w:pPr>
      <w:r>
        <w:rPr>
          <w:rFonts w:hint="eastAsia" w:ascii="仿宋_GB2312" w:hAnsi="仿宋" w:eastAsia="仿宋_GB2312" w:cs="仿宋"/>
          <w:szCs w:val="32"/>
        </w:rPr>
        <w:t>七、本协议一式四份，甲方、乙方各执</w:t>
      </w:r>
      <w:r>
        <w:rPr>
          <w:rFonts w:hint="eastAsia" w:ascii="仿宋_GB2312" w:hAnsi="仿宋" w:eastAsia="仿宋_GB2312" w:cs="仿宋"/>
          <w:szCs w:val="32"/>
          <w:u w:val="single"/>
        </w:rPr>
        <w:t>1</w:t>
      </w:r>
      <w:r>
        <w:rPr>
          <w:rFonts w:hint="eastAsia" w:ascii="仿宋_GB2312" w:hAnsi="仿宋" w:eastAsia="仿宋_GB2312" w:cs="仿宋"/>
          <w:szCs w:val="32"/>
        </w:rPr>
        <w:t>份，协议文本在本村委会、镇（街）、中标供应商和区农业农村局存档备查。</w:t>
      </w:r>
    </w:p>
    <w:p w14:paraId="3149CB8A">
      <w:pPr>
        <w:adjustRightInd w:val="0"/>
        <w:snapToGrid w:val="0"/>
        <w:spacing w:line="560" w:lineRule="exact"/>
        <w:ind w:firstLine="640" w:firstLineChars="200"/>
        <w:rPr>
          <w:rFonts w:ascii="仿宋_GB2312" w:hAnsi="仿宋" w:eastAsia="仿宋_GB2312" w:cs="仿宋"/>
          <w:szCs w:val="32"/>
        </w:rPr>
      </w:pPr>
      <w:r>
        <w:rPr>
          <w:rFonts w:hint="eastAsia" w:ascii="仿宋_GB2312" w:hAnsi="仿宋" w:eastAsia="仿宋_GB2312" w:cs="仿宋"/>
          <w:szCs w:val="32"/>
        </w:rPr>
        <w:t>八、未尽事宜，甲乙双方协商解决。</w:t>
      </w:r>
    </w:p>
    <w:p w14:paraId="4980E600">
      <w:pPr>
        <w:adjustRightInd w:val="0"/>
        <w:snapToGrid w:val="0"/>
        <w:spacing w:line="560" w:lineRule="exact"/>
        <w:rPr>
          <w:rFonts w:ascii="仿宋_GB2312" w:hAnsi="仿宋" w:eastAsia="仿宋_GB2312" w:cs="仿宋"/>
          <w:szCs w:val="32"/>
        </w:rPr>
      </w:pPr>
    </w:p>
    <w:p w14:paraId="2D8B2FD3">
      <w:pPr>
        <w:adjustRightInd w:val="0"/>
        <w:snapToGrid w:val="0"/>
        <w:spacing w:line="560" w:lineRule="exact"/>
        <w:rPr>
          <w:rFonts w:ascii="仿宋_GB2312" w:hAnsi="仿宋" w:eastAsia="仿宋_GB2312" w:cs="仿宋"/>
          <w:szCs w:val="32"/>
        </w:rPr>
      </w:pPr>
    </w:p>
    <w:p w14:paraId="3D3E3DBE">
      <w:pPr>
        <w:adjustRightInd w:val="0"/>
        <w:snapToGrid w:val="0"/>
        <w:spacing w:line="560" w:lineRule="exact"/>
        <w:rPr>
          <w:rFonts w:ascii="仿宋_GB2312" w:hAnsi="仿宋" w:eastAsia="仿宋_GB2312" w:cs="仿宋"/>
          <w:szCs w:val="32"/>
        </w:rPr>
      </w:pPr>
      <w:r>
        <w:rPr>
          <w:rFonts w:hint="eastAsia" w:ascii="仿宋_GB2312" w:hAnsi="仿宋" w:eastAsia="仿宋_GB2312" w:cs="仿宋"/>
          <w:szCs w:val="32"/>
        </w:rPr>
        <w:t>甲方：（盖章）                 乙方：（盖章）</w:t>
      </w:r>
    </w:p>
    <w:p w14:paraId="77C00EB7">
      <w:pPr>
        <w:adjustRightInd w:val="0"/>
        <w:snapToGrid w:val="0"/>
        <w:spacing w:line="560" w:lineRule="exact"/>
        <w:ind w:left="5120" w:hanging="5120" w:hangingChars="1600"/>
        <w:rPr>
          <w:rFonts w:ascii="仿宋_GB2312" w:hAnsi="仿宋" w:eastAsia="仿宋_GB2312" w:cs="仿宋"/>
          <w:szCs w:val="32"/>
        </w:rPr>
      </w:pPr>
      <w:r>
        <w:rPr>
          <w:rFonts w:hint="eastAsia" w:ascii="仿宋_GB2312" w:hAnsi="仿宋" w:eastAsia="仿宋_GB2312" w:cs="仿宋"/>
          <w:szCs w:val="32"/>
        </w:rPr>
        <w:t>甲方主任签名：                乙方村主任签名：</w:t>
      </w:r>
    </w:p>
    <w:p w14:paraId="71AE3D6F">
      <w:pPr>
        <w:adjustRightInd w:val="0"/>
        <w:snapToGrid w:val="0"/>
        <w:spacing w:line="560" w:lineRule="exact"/>
        <w:rPr>
          <w:rFonts w:ascii="仿宋_GB2312" w:hAnsi="仿宋" w:eastAsia="仿宋_GB2312" w:cs="仿宋"/>
          <w:szCs w:val="32"/>
        </w:rPr>
      </w:pPr>
    </w:p>
    <w:p w14:paraId="798F869D">
      <w:pPr>
        <w:adjustRightInd w:val="0"/>
        <w:snapToGrid w:val="0"/>
        <w:spacing w:line="560" w:lineRule="exact"/>
      </w:pPr>
      <w:r>
        <w:rPr>
          <w:rFonts w:hint="eastAsia" w:ascii="仿宋_GB2312" w:hAnsi="仿宋" w:eastAsia="仿宋_GB2312" w:cs="仿宋"/>
          <w:szCs w:val="32"/>
        </w:rPr>
        <w:t>日期：                        日期：</w:t>
      </w:r>
    </w:p>
    <w:p w14:paraId="79511338">
      <w:pPr>
        <w:adjustRightInd w:val="0"/>
        <w:snapToGrid w:val="0"/>
        <w:spacing w:line="590" w:lineRule="exact"/>
        <w:rPr>
          <w:rFonts w:hint="default" w:ascii="仿宋" w:hAnsi="仿宋" w:cs="仿宋"/>
          <w:szCs w:val="32"/>
          <w:lang w:val="en-US" w:eastAsia="zh-CN"/>
        </w:rPr>
      </w:pPr>
    </w:p>
    <w:p w14:paraId="33DAEF7B">
      <w:pPr>
        <w:adjustRightInd w:val="0"/>
        <w:snapToGrid w:val="0"/>
        <w:spacing w:line="590" w:lineRule="exact"/>
        <w:rPr>
          <w:rFonts w:hint="default" w:ascii="仿宋" w:hAnsi="仿宋" w:cs="仿宋"/>
          <w:szCs w:val="32"/>
          <w:lang w:val="en-US" w:eastAsia="zh-CN"/>
        </w:rPr>
      </w:pPr>
    </w:p>
    <w:p w14:paraId="6E31C4DC">
      <w:pPr>
        <w:adjustRightInd w:val="0"/>
        <w:snapToGrid w:val="0"/>
        <w:spacing w:line="590" w:lineRule="exact"/>
        <w:jc w:val="left"/>
        <w:rPr>
          <w:rFonts w:hint="eastAsia" w:ascii="黑体" w:hAnsi="黑体" w:eastAsia="黑体" w:cs="黑体"/>
          <w:szCs w:val="32"/>
          <w:lang w:val="en-US" w:eastAsia="zh-CN"/>
        </w:rPr>
      </w:pPr>
      <w:r>
        <w:rPr>
          <w:rFonts w:hint="eastAsia" w:ascii="黑体" w:hAnsi="黑体" w:eastAsia="黑体" w:cs="黑体"/>
          <w:szCs w:val="32"/>
          <w:lang w:val="en-US" w:eastAsia="zh-CN"/>
        </w:rPr>
        <w:t>附件4</w:t>
      </w:r>
    </w:p>
    <w:p w14:paraId="40E247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28"/>
          <w:szCs w:val="21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28"/>
          <w:szCs w:val="21"/>
        </w:rPr>
        <w:t xml:space="preserve">  新会区2023年中央农业资源及生态保护补助资金（轮作休耕）项目2024年实施社会化服务表</w:t>
      </w:r>
    </w:p>
    <w:tbl>
      <w:tblPr>
        <w:tblStyle w:val="14"/>
        <w:tblW w:w="1059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1448"/>
        <w:gridCol w:w="4304"/>
        <w:gridCol w:w="4229"/>
      </w:tblGrid>
      <w:tr w14:paraId="499396F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11" w:type="dxa"/>
            <w:vAlign w:val="center"/>
          </w:tcPr>
          <w:p w14:paraId="0501D12C">
            <w:pPr>
              <w:adjustRightInd w:val="0"/>
              <w:snapToGrid w:val="0"/>
              <w:rPr>
                <w:rFonts w:ascii="仿宋_GB2312" w:hAnsi="仿宋" w:eastAsia="仿宋_GB2312" w:cs="黑体"/>
                <w:kern w:val="0"/>
                <w:sz w:val="22"/>
                <w:szCs w:val="21"/>
              </w:rPr>
            </w:pPr>
            <w:r>
              <w:rPr>
                <w:rFonts w:hint="eastAsia" w:ascii="仿宋_GB2312" w:hAnsi="仿宋" w:eastAsia="仿宋_GB2312" w:cs="黑体"/>
                <w:kern w:val="0"/>
                <w:sz w:val="22"/>
                <w:szCs w:val="21"/>
              </w:rPr>
              <w:t>序号</w:t>
            </w:r>
          </w:p>
        </w:tc>
        <w:tc>
          <w:tcPr>
            <w:tcW w:w="1448" w:type="dxa"/>
            <w:vAlign w:val="center"/>
          </w:tcPr>
          <w:p w14:paraId="24244B25">
            <w:pPr>
              <w:adjustRightInd w:val="0"/>
              <w:snapToGrid w:val="0"/>
              <w:jc w:val="center"/>
              <w:rPr>
                <w:rFonts w:ascii="仿宋_GB2312" w:hAnsi="仿宋" w:eastAsia="仿宋_GB2312" w:cs="黑体"/>
                <w:kern w:val="0"/>
                <w:sz w:val="22"/>
                <w:szCs w:val="21"/>
              </w:rPr>
            </w:pPr>
            <w:r>
              <w:rPr>
                <w:rFonts w:hint="eastAsia" w:ascii="仿宋_GB2312" w:hAnsi="仿宋" w:eastAsia="仿宋_GB2312" w:cs="黑体"/>
                <w:kern w:val="0"/>
                <w:sz w:val="22"/>
                <w:szCs w:val="21"/>
              </w:rPr>
              <w:t>社会化服务事项</w:t>
            </w:r>
          </w:p>
        </w:tc>
        <w:tc>
          <w:tcPr>
            <w:tcW w:w="8533" w:type="dxa"/>
            <w:gridSpan w:val="2"/>
            <w:vAlign w:val="center"/>
          </w:tcPr>
          <w:p w14:paraId="3398A381">
            <w:pPr>
              <w:adjustRightInd w:val="0"/>
              <w:snapToGrid w:val="0"/>
              <w:jc w:val="center"/>
              <w:rPr>
                <w:rFonts w:ascii="仿宋_GB2312" w:hAnsi="仿宋" w:eastAsia="仿宋_GB2312" w:cs="黑体"/>
                <w:kern w:val="0"/>
                <w:sz w:val="22"/>
                <w:szCs w:val="21"/>
              </w:rPr>
            </w:pPr>
            <w:r>
              <w:rPr>
                <w:rFonts w:hint="eastAsia" w:ascii="仿宋_GB2312" w:hAnsi="仿宋" w:eastAsia="仿宋_GB2312" w:cs="黑体"/>
                <w:kern w:val="0"/>
                <w:sz w:val="22"/>
                <w:szCs w:val="21"/>
              </w:rPr>
              <w:t>指标</w:t>
            </w:r>
          </w:p>
        </w:tc>
      </w:tr>
      <w:tr w14:paraId="7ED4F3D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611" w:type="dxa"/>
            <w:vAlign w:val="center"/>
          </w:tcPr>
          <w:p w14:paraId="0285DD9F">
            <w:pPr>
              <w:adjustRightInd w:val="0"/>
              <w:snapToGrid w:val="0"/>
              <w:jc w:val="center"/>
              <w:rPr>
                <w:rFonts w:ascii="仿宋_GB2312" w:hAnsi="仿宋" w:eastAsia="仿宋_GB2312" w:cs="黑体"/>
                <w:kern w:val="0"/>
                <w:sz w:val="22"/>
                <w:szCs w:val="21"/>
              </w:rPr>
            </w:pPr>
            <w:r>
              <w:rPr>
                <w:rFonts w:hint="eastAsia" w:ascii="仿宋_GB2312" w:hAnsi="仿宋" w:eastAsia="仿宋_GB2312" w:cs="黑体"/>
                <w:kern w:val="0"/>
                <w:sz w:val="22"/>
                <w:szCs w:val="21"/>
              </w:rPr>
              <w:t>1</w:t>
            </w:r>
          </w:p>
        </w:tc>
        <w:tc>
          <w:tcPr>
            <w:tcW w:w="1448" w:type="dxa"/>
            <w:vAlign w:val="center"/>
          </w:tcPr>
          <w:p w14:paraId="1A9C6218">
            <w:pPr>
              <w:adjustRightInd w:val="0"/>
              <w:snapToGrid w:val="0"/>
              <w:rPr>
                <w:rFonts w:ascii="仿宋_GB2312" w:hAnsi="仿宋" w:eastAsia="仿宋_GB2312" w:cs="黑体"/>
                <w:kern w:val="0"/>
                <w:sz w:val="22"/>
                <w:szCs w:val="21"/>
              </w:rPr>
            </w:pPr>
            <w:r>
              <w:rPr>
                <w:rFonts w:hint="eastAsia" w:ascii="仿宋_GB2312" w:hAnsi="仿宋" w:eastAsia="仿宋_GB2312" w:cs="黑体"/>
                <w:kern w:val="0"/>
                <w:sz w:val="22"/>
                <w:szCs w:val="21"/>
              </w:rPr>
              <w:t>技术指导</w:t>
            </w:r>
          </w:p>
        </w:tc>
        <w:tc>
          <w:tcPr>
            <w:tcW w:w="4304" w:type="dxa"/>
            <w:vAlign w:val="center"/>
          </w:tcPr>
          <w:p w14:paraId="11FF2BA2">
            <w:pPr>
              <w:adjustRightInd w:val="0"/>
              <w:snapToGrid w:val="0"/>
              <w:rPr>
                <w:rFonts w:ascii="仿宋_GB2312" w:hAnsi="仿宋" w:eastAsia="仿宋_GB2312" w:cs="黑体"/>
                <w:kern w:val="0"/>
                <w:sz w:val="22"/>
                <w:szCs w:val="21"/>
              </w:rPr>
            </w:pPr>
            <w:r>
              <w:rPr>
                <w:rFonts w:hint="eastAsia" w:ascii="仿宋_GB2312" w:hAnsi="仿宋" w:eastAsia="仿宋_GB2312" w:cs="黑体"/>
                <w:kern w:val="0"/>
                <w:sz w:val="22"/>
                <w:szCs w:val="21"/>
              </w:rPr>
              <w:t>印发有关技术资料，开展技术指导。</w:t>
            </w:r>
          </w:p>
        </w:tc>
        <w:tc>
          <w:tcPr>
            <w:tcW w:w="4228" w:type="dxa"/>
            <w:vAlign w:val="center"/>
          </w:tcPr>
          <w:p w14:paraId="4AD846E3">
            <w:pPr>
              <w:adjustRightInd w:val="0"/>
              <w:snapToGrid w:val="0"/>
              <w:rPr>
                <w:rFonts w:ascii="仿宋_GB2312" w:hAnsi="仿宋" w:eastAsia="仿宋_GB2312" w:cs="黑体"/>
                <w:kern w:val="0"/>
                <w:sz w:val="22"/>
                <w:szCs w:val="21"/>
              </w:rPr>
            </w:pPr>
            <w:r>
              <w:rPr>
                <w:rFonts w:hint="eastAsia" w:ascii="仿宋_GB2312" w:hAnsi="仿宋" w:eastAsia="仿宋_GB2312" w:cs="黑体"/>
                <w:kern w:val="0"/>
                <w:sz w:val="22"/>
                <w:szCs w:val="21"/>
              </w:rPr>
              <w:t>每户示范农民1份。</w:t>
            </w:r>
          </w:p>
        </w:tc>
      </w:tr>
      <w:tr w14:paraId="378195D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611" w:type="dxa"/>
            <w:vAlign w:val="center"/>
          </w:tcPr>
          <w:p w14:paraId="5BD65AE8">
            <w:pPr>
              <w:adjustRightInd w:val="0"/>
              <w:snapToGrid w:val="0"/>
              <w:jc w:val="center"/>
              <w:rPr>
                <w:rFonts w:ascii="仿宋_GB2312" w:hAnsi="仿宋" w:eastAsia="仿宋_GB2312" w:cs="黑体"/>
                <w:kern w:val="0"/>
                <w:sz w:val="22"/>
                <w:szCs w:val="21"/>
              </w:rPr>
            </w:pPr>
            <w:r>
              <w:rPr>
                <w:rFonts w:hint="eastAsia" w:ascii="仿宋_GB2312" w:hAnsi="仿宋" w:eastAsia="仿宋_GB2312" w:cs="黑体"/>
                <w:kern w:val="0"/>
                <w:sz w:val="22"/>
                <w:szCs w:val="21"/>
              </w:rPr>
              <w:t>2</w:t>
            </w:r>
          </w:p>
        </w:tc>
        <w:tc>
          <w:tcPr>
            <w:tcW w:w="1448" w:type="dxa"/>
            <w:vAlign w:val="center"/>
          </w:tcPr>
          <w:p w14:paraId="76C42602">
            <w:pPr>
              <w:adjustRightInd w:val="0"/>
              <w:snapToGrid w:val="0"/>
              <w:rPr>
                <w:rFonts w:ascii="仿宋_GB2312" w:hAnsi="仿宋" w:eastAsia="仿宋_GB2312" w:cs="黑体"/>
                <w:kern w:val="0"/>
                <w:sz w:val="22"/>
                <w:szCs w:val="21"/>
              </w:rPr>
            </w:pPr>
            <w:r>
              <w:rPr>
                <w:rFonts w:hint="eastAsia" w:ascii="仿宋_GB2312" w:hAnsi="仿宋" w:eastAsia="仿宋_GB2312" w:cs="黑体"/>
                <w:kern w:val="0"/>
                <w:sz w:val="22"/>
                <w:szCs w:val="21"/>
              </w:rPr>
              <w:t>宣传培训</w:t>
            </w:r>
          </w:p>
        </w:tc>
        <w:tc>
          <w:tcPr>
            <w:tcW w:w="4304" w:type="dxa"/>
            <w:vAlign w:val="center"/>
          </w:tcPr>
          <w:p w14:paraId="70C1653D">
            <w:pPr>
              <w:adjustRightInd w:val="0"/>
              <w:snapToGrid w:val="0"/>
              <w:rPr>
                <w:rFonts w:ascii="仿宋_GB2312" w:hAnsi="仿宋" w:eastAsia="仿宋_GB2312" w:cs="黑体"/>
                <w:kern w:val="0"/>
                <w:sz w:val="22"/>
                <w:szCs w:val="21"/>
              </w:rPr>
            </w:pPr>
            <w:r>
              <w:rPr>
                <w:rFonts w:hint="eastAsia" w:ascii="仿宋_GB2312" w:hAnsi="仿宋" w:eastAsia="仿宋_GB2312" w:cs="黑体"/>
                <w:kern w:val="0"/>
                <w:sz w:val="22"/>
                <w:szCs w:val="21"/>
              </w:rPr>
              <w:t>在示范区域的镇（街）或村举办技术培训班和现场观摩（交流）会。</w:t>
            </w:r>
          </w:p>
        </w:tc>
        <w:tc>
          <w:tcPr>
            <w:tcW w:w="4228" w:type="dxa"/>
            <w:vAlign w:val="center"/>
          </w:tcPr>
          <w:p w14:paraId="4C5B8DEF">
            <w:pPr>
              <w:adjustRightInd w:val="0"/>
              <w:snapToGrid w:val="0"/>
              <w:rPr>
                <w:rFonts w:ascii="仿宋_GB2312" w:hAnsi="仿宋" w:eastAsia="仿宋_GB2312" w:cs="黑体"/>
                <w:kern w:val="0"/>
                <w:sz w:val="22"/>
                <w:szCs w:val="21"/>
              </w:rPr>
            </w:pPr>
            <w:r>
              <w:rPr>
                <w:rFonts w:hint="eastAsia" w:ascii="仿宋_GB2312" w:hAnsi="仿宋" w:eastAsia="仿宋_GB2312" w:cs="黑体"/>
                <w:kern w:val="0"/>
                <w:sz w:val="22"/>
                <w:szCs w:val="21"/>
              </w:rPr>
              <w:t>共</w:t>
            </w:r>
            <w:r>
              <w:rPr>
                <w:rFonts w:ascii="仿宋_GB2312" w:hAnsi="仿宋" w:eastAsia="仿宋_GB2312" w:cs="黑体"/>
                <w:kern w:val="0"/>
                <w:sz w:val="22"/>
                <w:szCs w:val="21"/>
              </w:rPr>
              <w:t>2</w:t>
            </w:r>
            <w:r>
              <w:rPr>
                <w:rFonts w:hint="eastAsia" w:ascii="仿宋_GB2312" w:hAnsi="仿宋" w:eastAsia="仿宋_GB2312" w:cs="黑体"/>
                <w:kern w:val="0"/>
                <w:sz w:val="22"/>
                <w:szCs w:val="21"/>
              </w:rPr>
              <w:t>期以上（含），由具种植业类中级以上技术职称人员授课，每期培训人数不少于（含）30人。</w:t>
            </w:r>
          </w:p>
        </w:tc>
      </w:tr>
      <w:tr w14:paraId="18271F8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611" w:type="dxa"/>
            <w:vMerge w:val="restart"/>
            <w:vAlign w:val="center"/>
          </w:tcPr>
          <w:p w14:paraId="5DB0D295">
            <w:pPr>
              <w:adjustRightInd w:val="0"/>
              <w:snapToGrid w:val="0"/>
              <w:jc w:val="center"/>
              <w:rPr>
                <w:rFonts w:ascii="仿宋_GB2312" w:hAnsi="仿宋" w:eastAsia="仿宋_GB2312" w:cs="黑体"/>
                <w:kern w:val="0"/>
                <w:sz w:val="22"/>
                <w:szCs w:val="21"/>
              </w:rPr>
            </w:pPr>
            <w:r>
              <w:rPr>
                <w:rFonts w:hint="eastAsia" w:ascii="仿宋_GB2312" w:hAnsi="仿宋" w:eastAsia="仿宋_GB2312" w:cs="黑体"/>
                <w:kern w:val="0"/>
                <w:sz w:val="22"/>
                <w:szCs w:val="21"/>
              </w:rPr>
              <w:t>3</w:t>
            </w:r>
          </w:p>
        </w:tc>
        <w:tc>
          <w:tcPr>
            <w:tcW w:w="1448" w:type="dxa"/>
            <w:vMerge w:val="restart"/>
            <w:vAlign w:val="center"/>
          </w:tcPr>
          <w:p w14:paraId="3E6F208D">
            <w:pPr>
              <w:adjustRightInd w:val="0"/>
              <w:snapToGrid w:val="0"/>
              <w:jc w:val="center"/>
              <w:rPr>
                <w:rFonts w:ascii="仿宋_GB2312" w:hAnsi="仿宋" w:eastAsia="仿宋_GB2312" w:cs="黑体"/>
                <w:kern w:val="0"/>
                <w:sz w:val="22"/>
                <w:szCs w:val="21"/>
              </w:rPr>
            </w:pPr>
            <w:r>
              <w:rPr>
                <w:rFonts w:hint="eastAsia" w:ascii="仿宋_GB2312" w:hAnsi="仿宋" w:eastAsia="仿宋_GB2312" w:cs="黑体"/>
                <w:kern w:val="0"/>
                <w:sz w:val="22"/>
                <w:szCs w:val="21"/>
              </w:rPr>
              <w:t>建立试点台账</w:t>
            </w:r>
          </w:p>
        </w:tc>
        <w:tc>
          <w:tcPr>
            <w:tcW w:w="4304" w:type="dxa"/>
            <w:vAlign w:val="center"/>
          </w:tcPr>
          <w:p w14:paraId="47B63242">
            <w:pPr>
              <w:adjustRightInd w:val="0"/>
              <w:snapToGrid w:val="0"/>
              <w:rPr>
                <w:rFonts w:ascii="仿宋_GB2312" w:hAnsi="仿宋" w:eastAsia="仿宋_GB2312" w:cs="黑体"/>
                <w:kern w:val="0"/>
                <w:sz w:val="22"/>
                <w:szCs w:val="21"/>
              </w:rPr>
            </w:pPr>
            <w:r>
              <w:rPr>
                <w:rFonts w:hint="eastAsia" w:ascii="仿宋_GB2312" w:hAnsi="仿宋" w:eastAsia="仿宋_GB2312" w:cs="黑体"/>
                <w:kern w:val="0"/>
                <w:sz w:val="22"/>
                <w:szCs w:val="21"/>
              </w:rPr>
              <w:t>建立资金投入和使用情况，工作推进情况，项目建设示范协议、面积、区域位置，农民信息、种植作物信息和补助信息，作物种植、长势和实施过程的相关影像图片资料等台账。</w:t>
            </w:r>
          </w:p>
        </w:tc>
        <w:tc>
          <w:tcPr>
            <w:tcW w:w="4228" w:type="dxa"/>
            <w:vAlign w:val="center"/>
          </w:tcPr>
          <w:p w14:paraId="1CFDA373">
            <w:pPr>
              <w:adjustRightInd w:val="0"/>
              <w:snapToGrid w:val="0"/>
              <w:rPr>
                <w:rFonts w:ascii="仿宋_GB2312" w:hAnsi="仿宋" w:eastAsia="仿宋_GB2312" w:cs="黑体"/>
                <w:kern w:val="0"/>
                <w:sz w:val="22"/>
                <w:szCs w:val="21"/>
              </w:rPr>
            </w:pPr>
            <w:r>
              <w:rPr>
                <w:rFonts w:hint="eastAsia" w:ascii="仿宋_GB2312" w:hAnsi="仿宋" w:eastAsia="仿宋_GB2312" w:cs="黑体"/>
                <w:kern w:val="0"/>
                <w:sz w:val="22"/>
                <w:szCs w:val="21"/>
              </w:rPr>
              <w:t>形成PDF和纸质等台账。</w:t>
            </w:r>
          </w:p>
        </w:tc>
      </w:tr>
      <w:tr w14:paraId="43B3A78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  <w:jc w:val="center"/>
        </w:trPr>
        <w:tc>
          <w:tcPr>
            <w:tcW w:w="611" w:type="dxa"/>
            <w:vMerge w:val="continue"/>
            <w:vAlign w:val="center"/>
          </w:tcPr>
          <w:p w14:paraId="3F355E30">
            <w:pPr>
              <w:adjustRightInd w:val="0"/>
              <w:snapToGrid w:val="0"/>
              <w:jc w:val="center"/>
              <w:rPr>
                <w:rFonts w:ascii="仿宋_GB2312" w:hAnsi="仿宋" w:eastAsia="仿宋_GB2312" w:cs="黑体"/>
                <w:kern w:val="0"/>
                <w:sz w:val="22"/>
                <w:szCs w:val="21"/>
              </w:rPr>
            </w:pPr>
          </w:p>
        </w:tc>
        <w:tc>
          <w:tcPr>
            <w:tcW w:w="1448" w:type="dxa"/>
            <w:vMerge w:val="continue"/>
            <w:vAlign w:val="center"/>
          </w:tcPr>
          <w:p w14:paraId="663310A6">
            <w:pPr>
              <w:adjustRightInd w:val="0"/>
              <w:snapToGrid w:val="0"/>
              <w:rPr>
                <w:rFonts w:ascii="仿宋_GB2312" w:hAnsi="仿宋" w:eastAsia="仿宋_GB2312" w:cs="黑体"/>
                <w:kern w:val="0"/>
                <w:sz w:val="22"/>
                <w:szCs w:val="21"/>
              </w:rPr>
            </w:pPr>
          </w:p>
        </w:tc>
        <w:tc>
          <w:tcPr>
            <w:tcW w:w="4304" w:type="dxa"/>
            <w:vAlign w:val="center"/>
          </w:tcPr>
          <w:p w14:paraId="1BAB186E">
            <w:pPr>
              <w:adjustRightInd w:val="0"/>
              <w:snapToGrid w:val="0"/>
              <w:rPr>
                <w:rFonts w:ascii="仿宋_GB2312" w:hAnsi="仿宋" w:eastAsia="仿宋_GB2312" w:cs="黑体"/>
                <w:kern w:val="0"/>
                <w:sz w:val="22"/>
                <w:szCs w:val="21"/>
              </w:rPr>
            </w:pPr>
            <w:r>
              <w:rPr>
                <w:rFonts w:hint="eastAsia" w:ascii="仿宋_GB2312" w:hAnsi="仿宋" w:eastAsia="仿宋_GB2312" w:cs="黑体"/>
                <w:kern w:val="0"/>
                <w:sz w:val="22"/>
                <w:szCs w:val="21"/>
              </w:rPr>
              <w:t>记录早、晚稻播种种植情况（含面积、产量和总产量）。</w:t>
            </w:r>
          </w:p>
        </w:tc>
        <w:tc>
          <w:tcPr>
            <w:tcW w:w="4228" w:type="dxa"/>
            <w:vMerge w:val="restart"/>
            <w:vAlign w:val="center"/>
          </w:tcPr>
          <w:p w14:paraId="0C6A9388">
            <w:pPr>
              <w:adjustRightInd w:val="0"/>
              <w:snapToGrid w:val="0"/>
              <w:rPr>
                <w:rFonts w:ascii="仿宋_GB2312" w:hAnsi="仿宋" w:eastAsia="仿宋_GB2312" w:cs="黑体"/>
                <w:kern w:val="0"/>
                <w:sz w:val="22"/>
                <w:szCs w:val="21"/>
              </w:rPr>
            </w:pPr>
            <w:r>
              <w:rPr>
                <w:rFonts w:hint="eastAsia" w:ascii="仿宋_GB2312" w:hAnsi="仿宋" w:eastAsia="仿宋_GB2312" w:cs="黑体"/>
                <w:kern w:val="0"/>
                <w:sz w:val="22"/>
                <w:szCs w:val="21"/>
              </w:rPr>
              <w:t>相应选取不少于（含）3个示范村，每村选3户参试地块各实割1亩以上(含)，测定亩产和总产。</w:t>
            </w:r>
          </w:p>
        </w:tc>
      </w:tr>
      <w:tr w14:paraId="3F79098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  <w:jc w:val="center"/>
        </w:trPr>
        <w:tc>
          <w:tcPr>
            <w:tcW w:w="611" w:type="dxa"/>
            <w:vMerge w:val="continue"/>
            <w:vAlign w:val="center"/>
          </w:tcPr>
          <w:p w14:paraId="0F4868DE">
            <w:pPr>
              <w:adjustRightInd w:val="0"/>
              <w:snapToGrid w:val="0"/>
              <w:jc w:val="center"/>
              <w:rPr>
                <w:rFonts w:ascii="仿宋_GB2312" w:hAnsi="仿宋" w:eastAsia="仿宋_GB2312" w:cs="黑体"/>
                <w:kern w:val="0"/>
                <w:sz w:val="22"/>
                <w:szCs w:val="21"/>
              </w:rPr>
            </w:pPr>
          </w:p>
        </w:tc>
        <w:tc>
          <w:tcPr>
            <w:tcW w:w="1448" w:type="dxa"/>
            <w:vMerge w:val="continue"/>
            <w:vAlign w:val="center"/>
          </w:tcPr>
          <w:p w14:paraId="32E5461D">
            <w:pPr>
              <w:adjustRightInd w:val="0"/>
              <w:snapToGrid w:val="0"/>
              <w:rPr>
                <w:rFonts w:ascii="仿宋_GB2312" w:hAnsi="仿宋" w:eastAsia="仿宋_GB2312" w:cs="黑体"/>
                <w:kern w:val="0"/>
                <w:sz w:val="22"/>
                <w:szCs w:val="21"/>
              </w:rPr>
            </w:pPr>
          </w:p>
        </w:tc>
        <w:tc>
          <w:tcPr>
            <w:tcW w:w="4304" w:type="dxa"/>
            <w:vAlign w:val="center"/>
          </w:tcPr>
          <w:p w14:paraId="005C0D06">
            <w:pPr>
              <w:adjustRightInd w:val="0"/>
              <w:snapToGrid w:val="0"/>
              <w:rPr>
                <w:rFonts w:ascii="仿宋_GB2312" w:hAnsi="仿宋" w:eastAsia="仿宋_GB2312" w:cs="黑体"/>
                <w:kern w:val="0"/>
                <w:sz w:val="22"/>
                <w:szCs w:val="21"/>
              </w:rPr>
            </w:pPr>
            <w:r>
              <w:rPr>
                <w:rFonts w:hint="eastAsia" w:ascii="仿宋_GB2312" w:hAnsi="仿宋" w:eastAsia="仿宋_GB2312" w:cs="黑体"/>
                <w:kern w:val="0"/>
                <w:sz w:val="22"/>
                <w:szCs w:val="21"/>
              </w:rPr>
              <w:t>记录冬种轮作情况（含面积、产量和总产量）。</w:t>
            </w:r>
          </w:p>
        </w:tc>
        <w:tc>
          <w:tcPr>
            <w:tcW w:w="4228" w:type="dxa"/>
            <w:vMerge w:val="continue"/>
            <w:vAlign w:val="center"/>
          </w:tcPr>
          <w:p w14:paraId="5F22C3DE">
            <w:pPr>
              <w:adjustRightInd w:val="0"/>
              <w:snapToGrid w:val="0"/>
              <w:rPr>
                <w:rFonts w:ascii="仿宋_GB2312" w:hAnsi="仿宋" w:eastAsia="仿宋_GB2312" w:cs="黑体"/>
                <w:kern w:val="0"/>
                <w:sz w:val="22"/>
                <w:szCs w:val="21"/>
              </w:rPr>
            </w:pPr>
          </w:p>
        </w:tc>
      </w:tr>
      <w:tr w14:paraId="7C70CFE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611" w:type="dxa"/>
            <w:vAlign w:val="center"/>
          </w:tcPr>
          <w:p w14:paraId="4F0D9E91">
            <w:pPr>
              <w:adjustRightInd w:val="0"/>
              <w:snapToGrid w:val="0"/>
              <w:jc w:val="center"/>
              <w:rPr>
                <w:rFonts w:ascii="仿宋_GB2312" w:hAnsi="仿宋" w:eastAsia="仿宋_GB2312" w:cs="黑体"/>
                <w:kern w:val="0"/>
                <w:sz w:val="22"/>
                <w:szCs w:val="21"/>
              </w:rPr>
            </w:pPr>
            <w:r>
              <w:rPr>
                <w:rFonts w:hint="eastAsia" w:ascii="仿宋" w:hAnsi="仿宋" w:cs="黑体"/>
                <w:kern w:val="0"/>
                <w:sz w:val="22"/>
                <w:szCs w:val="21"/>
              </w:rPr>
              <w:t>4</w:t>
            </w:r>
          </w:p>
        </w:tc>
        <w:tc>
          <w:tcPr>
            <w:tcW w:w="1448" w:type="dxa"/>
            <w:vAlign w:val="center"/>
          </w:tcPr>
          <w:p w14:paraId="1EE2D643">
            <w:pPr>
              <w:adjustRightInd w:val="0"/>
              <w:snapToGrid w:val="0"/>
              <w:jc w:val="center"/>
              <w:rPr>
                <w:rFonts w:ascii="仿宋_GB2312" w:hAnsi="仿宋" w:eastAsia="仿宋_GB2312" w:cs="黑体"/>
                <w:kern w:val="0"/>
                <w:sz w:val="22"/>
                <w:szCs w:val="21"/>
              </w:rPr>
            </w:pPr>
            <w:r>
              <w:rPr>
                <w:rFonts w:hint="eastAsia" w:ascii="仿宋_GB2312" w:hAnsi="仿宋" w:eastAsia="仿宋_GB2312" w:cs="黑体"/>
                <w:kern w:val="0"/>
                <w:sz w:val="22"/>
                <w:szCs w:val="21"/>
              </w:rPr>
              <w:t>冬种紫云英、油菜、白菜或菜心播种</w:t>
            </w:r>
          </w:p>
        </w:tc>
        <w:tc>
          <w:tcPr>
            <w:tcW w:w="4304" w:type="dxa"/>
            <w:vAlign w:val="center"/>
          </w:tcPr>
          <w:p w14:paraId="4A2759BB">
            <w:pPr>
              <w:adjustRightInd w:val="0"/>
              <w:snapToGrid w:val="0"/>
              <w:rPr>
                <w:rFonts w:ascii="仿宋_GB2312" w:hAnsi="仿宋" w:eastAsia="仿宋_GB2312" w:cs="黑体"/>
                <w:kern w:val="0"/>
                <w:sz w:val="22"/>
                <w:szCs w:val="21"/>
              </w:rPr>
            </w:pPr>
            <w:r>
              <w:rPr>
                <w:rFonts w:hint="eastAsia" w:ascii="仿宋_GB2312" w:hAnsi="仿宋" w:eastAsia="仿宋_GB2312" w:cs="黑体"/>
                <w:kern w:val="0"/>
                <w:sz w:val="22"/>
                <w:szCs w:val="21"/>
              </w:rPr>
              <w:t>在晚稻收获前5天至收获后15天内，用无人机或人工方式，对轮作试点冬种紫云英、油菜、白菜或菜心面积进行定量播种,其中冬种油菜品种为近2年在珠三角（含新会）冬种效果较好，可作蔬菜食用、赏花和培肥的油菜花品种。</w:t>
            </w:r>
          </w:p>
        </w:tc>
        <w:tc>
          <w:tcPr>
            <w:tcW w:w="4228" w:type="dxa"/>
            <w:vAlign w:val="center"/>
          </w:tcPr>
          <w:p w14:paraId="7BF121DE">
            <w:pPr>
              <w:adjustRightInd w:val="0"/>
              <w:snapToGrid w:val="0"/>
              <w:rPr>
                <w:rFonts w:ascii="仿宋_GB2312" w:hAnsi="仿宋" w:eastAsia="仿宋_GB2312" w:cs="黑体"/>
                <w:kern w:val="0"/>
                <w:sz w:val="22"/>
                <w:szCs w:val="21"/>
              </w:rPr>
            </w:pPr>
            <w:r>
              <w:rPr>
                <w:rFonts w:hint="default" w:ascii="仿宋_GB2312" w:hAnsi="仿宋" w:eastAsia="仿宋_GB2312" w:cs="黑体"/>
                <w:kern w:val="0"/>
                <w:sz w:val="22"/>
                <w:szCs w:val="21"/>
                <w:lang w:val="en-US" w:eastAsia="zh-CN"/>
              </w:rPr>
              <w:t>全区计划组织实施3.3万亩以内，具体实施面积以镇（街</w:t>
            </w:r>
            <w:r>
              <w:rPr>
                <w:rFonts w:hint="eastAsia" w:ascii="仿宋_GB2312" w:hAnsi="仿宋" w:eastAsia="仿宋_GB2312" w:cs="黑体"/>
                <w:kern w:val="0"/>
                <w:sz w:val="22"/>
                <w:szCs w:val="21"/>
                <w:lang w:val="en-US" w:eastAsia="zh-CN"/>
              </w:rPr>
              <w:t>）</w:t>
            </w:r>
            <w:r>
              <w:rPr>
                <w:rFonts w:hint="default" w:ascii="仿宋_GB2312" w:hAnsi="仿宋" w:eastAsia="仿宋_GB2312" w:cs="黑体"/>
                <w:kern w:val="0"/>
                <w:sz w:val="22"/>
                <w:szCs w:val="21"/>
                <w:lang w:val="en-US" w:eastAsia="zh-CN"/>
              </w:rPr>
              <w:t>申报遴选确定和中标结果为准</w:t>
            </w:r>
            <w:r>
              <w:rPr>
                <w:rFonts w:hint="eastAsia" w:ascii="仿宋_GB2312" w:hAnsi="仿宋" w:eastAsia="仿宋_GB2312" w:cs="黑体"/>
                <w:kern w:val="0"/>
                <w:sz w:val="22"/>
                <w:szCs w:val="21"/>
              </w:rPr>
              <w:t>，其中：紫云英亩播种量不少于2公斤，播种前拌根瘤菌种不少于1公斤；油菜、白菜、菜心的亩播种量不少于0.75公斤。其中：冬种油菜品种为近2年在珠三角（含新会）冬种效果较好，可作蔬菜食用、赏花和培肥的油菜花品种。</w:t>
            </w:r>
          </w:p>
        </w:tc>
      </w:tr>
      <w:tr w14:paraId="3552FBB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611" w:type="dxa"/>
            <w:vAlign w:val="center"/>
          </w:tcPr>
          <w:p w14:paraId="241B0390">
            <w:pPr>
              <w:adjustRightInd w:val="0"/>
              <w:snapToGrid w:val="0"/>
              <w:jc w:val="center"/>
              <w:rPr>
                <w:rFonts w:ascii="仿宋_GB2312" w:hAnsi="仿宋" w:eastAsia="仿宋_GB2312" w:cs="黑体"/>
                <w:kern w:val="0"/>
                <w:sz w:val="22"/>
                <w:szCs w:val="21"/>
              </w:rPr>
            </w:pPr>
            <w:r>
              <w:rPr>
                <w:rFonts w:hint="eastAsia" w:ascii="仿宋" w:hAnsi="仿宋" w:cs="黑体"/>
                <w:kern w:val="0"/>
                <w:sz w:val="22"/>
                <w:szCs w:val="21"/>
              </w:rPr>
              <w:t>5</w:t>
            </w:r>
          </w:p>
        </w:tc>
        <w:tc>
          <w:tcPr>
            <w:tcW w:w="1448" w:type="dxa"/>
            <w:vAlign w:val="center"/>
          </w:tcPr>
          <w:p w14:paraId="38E299AF">
            <w:pPr>
              <w:adjustRightInd w:val="0"/>
              <w:snapToGrid w:val="0"/>
              <w:jc w:val="center"/>
              <w:rPr>
                <w:rFonts w:ascii="仿宋_GB2312" w:hAnsi="仿宋" w:eastAsia="仿宋_GB2312" w:cs="黑体"/>
                <w:kern w:val="0"/>
                <w:sz w:val="22"/>
                <w:szCs w:val="21"/>
              </w:rPr>
            </w:pPr>
            <w:r>
              <w:rPr>
                <w:rFonts w:hint="eastAsia" w:ascii="仿宋_GB2312" w:hAnsi="仿宋" w:eastAsia="仿宋_GB2312" w:cs="黑体"/>
                <w:kern w:val="0"/>
                <w:sz w:val="22"/>
                <w:szCs w:val="21"/>
              </w:rPr>
              <w:t>冬种紫云英、蔬菜</w:t>
            </w:r>
            <w:r>
              <w:rPr>
                <w:rFonts w:ascii="仿宋_GB2312" w:hAnsi="仿宋" w:eastAsia="仿宋_GB2312" w:cs="黑体"/>
                <w:kern w:val="0"/>
                <w:sz w:val="22"/>
                <w:szCs w:val="21"/>
              </w:rPr>
              <w:t>（</w:t>
            </w:r>
            <w:r>
              <w:rPr>
                <w:rFonts w:hint="eastAsia" w:ascii="仿宋_GB2312" w:hAnsi="仿宋" w:eastAsia="仿宋_GB2312" w:cs="黑体"/>
                <w:kern w:val="0"/>
                <w:sz w:val="22"/>
                <w:szCs w:val="21"/>
              </w:rPr>
              <w:t>油菜或白菜、菜心</w:t>
            </w:r>
            <w:r>
              <w:rPr>
                <w:rFonts w:ascii="仿宋_GB2312" w:hAnsi="仿宋" w:eastAsia="仿宋_GB2312" w:cs="黑体"/>
                <w:kern w:val="0"/>
                <w:sz w:val="22"/>
                <w:szCs w:val="21"/>
              </w:rPr>
              <w:t>）</w:t>
            </w:r>
            <w:r>
              <w:rPr>
                <w:rFonts w:hint="eastAsia" w:ascii="仿宋_GB2312" w:hAnsi="仿宋" w:eastAsia="仿宋_GB2312" w:cs="黑体"/>
                <w:kern w:val="0"/>
                <w:sz w:val="22"/>
                <w:szCs w:val="21"/>
              </w:rPr>
              <w:t>、</w:t>
            </w:r>
            <w:r>
              <w:rPr>
                <w:rFonts w:ascii="仿宋_GB2312" w:hAnsi="仿宋" w:eastAsia="仿宋_GB2312" w:cs="黑体"/>
                <w:kern w:val="0"/>
                <w:sz w:val="22"/>
                <w:szCs w:val="21"/>
              </w:rPr>
              <w:t>旱粮</w:t>
            </w:r>
            <w:r>
              <w:rPr>
                <w:rFonts w:hint="eastAsia" w:ascii="仿宋_GB2312" w:hAnsi="仿宋" w:eastAsia="仿宋_GB2312" w:cs="黑体"/>
                <w:kern w:val="0"/>
                <w:sz w:val="22"/>
                <w:szCs w:val="21"/>
              </w:rPr>
              <w:t>（玉米、</w:t>
            </w:r>
            <w:r>
              <w:rPr>
                <w:rFonts w:ascii="仿宋_GB2312" w:hAnsi="仿宋" w:eastAsia="仿宋_GB2312" w:cs="黑体"/>
                <w:kern w:val="0"/>
                <w:sz w:val="22"/>
                <w:szCs w:val="21"/>
              </w:rPr>
              <w:t>番薯、马铃薯</w:t>
            </w:r>
            <w:r>
              <w:rPr>
                <w:rFonts w:hint="eastAsia" w:ascii="仿宋_GB2312" w:hAnsi="仿宋" w:eastAsia="仿宋_GB2312" w:cs="黑体"/>
                <w:kern w:val="0"/>
                <w:sz w:val="22"/>
                <w:szCs w:val="21"/>
              </w:rPr>
              <w:t>或</w:t>
            </w:r>
            <w:r>
              <w:rPr>
                <w:rFonts w:ascii="仿宋_GB2312" w:hAnsi="仿宋" w:eastAsia="仿宋_GB2312" w:cs="黑体"/>
                <w:kern w:val="0"/>
                <w:sz w:val="22"/>
                <w:szCs w:val="21"/>
              </w:rPr>
              <w:t>大豆</w:t>
            </w:r>
            <w:r>
              <w:rPr>
                <w:rFonts w:hint="eastAsia" w:ascii="仿宋_GB2312" w:hAnsi="仿宋" w:eastAsia="仿宋_GB2312" w:cs="黑体"/>
                <w:kern w:val="0"/>
                <w:sz w:val="22"/>
                <w:szCs w:val="21"/>
              </w:rPr>
              <w:t>）施肥</w:t>
            </w:r>
          </w:p>
        </w:tc>
        <w:tc>
          <w:tcPr>
            <w:tcW w:w="4304" w:type="dxa"/>
            <w:vAlign w:val="center"/>
          </w:tcPr>
          <w:p w14:paraId="1891C2D5">
            <w:pPr>
              <w:adjustRightInd w:val="0"/>
              <w:snapToGrid w:val="0"/>
              <w:rPr>
                <w:rFonts w:ascii="仿宋_GB2312" w:hAnsi="仿宋" w:eastAsia="仿宋_GB2312" w:cs="黑体"/>
                <w:kern w:val="0"/>
                <w:sz w:val="22"/>
                <w:szCs w:val="21"/>
              </w:rPr>
            </w:pPr>
            <w:r>
              <w:rPr>
                <w:rFonts w:hint="eastAsia" w:ascii="仿宋_GB2312" w:hAnsi="仿宋" w:eastAsia="仿宋_GB2312" w:cs="黑体"/>
                <w:kern w:val="0"/>
                <w:sz w:val="22"/>
                <w:szCs w:val="21"/>
              </w:rPr>
              <w:t>苗期至盛花期(番薯和马铃薯至结薯期），用无人机或人工方式，对轮作试点冬种紫云英、蔬菜</w:t>
            </w:r>
            <w:r>
              <w:rPr>
                <w:rFonts w:ascii="仿宋_GB2312" w:hAnsi="仿宋" w:eastAsia="仿宋_GB2312" w:cs="黑体"/>
                <w:kern w:val="0"/>
                <w:sz w:val="22"/>
                <w:szCs w:val="21"/>
              </w:rPr>
              <w:t>（</w:t>
            </w:r>
            <w:r>
              <w:rPr>
                <w:rFonts w:hint="eastAsia" w:ascii="仿宋_GB2312" w:hAnsi="仿宋" w:eastAsia="仿宋_GB2312" w:cs="黑体"/>
                <w:kern w:val="0"/>
                <w:sz w:val="22"/>
                <w:szCs w:val="21"/>
              </w:rPr>
              <w:t>油菜或白菜、菜心</w:t>
            </w:r>
            <w:r>
              <w:rPr>
                <w:rFonts w:ascii="仿宋_GB2312" w:hAnsi="仿宋" w:eastAsia="仿宋_GB2312" w:cs="黑体"/>
                <w:kern w:val="0"/>
                <w:sz w:val="22"/>
                <w:szCs w:val="21"/>
              </w:rPr>
              <w:t>）</w:t>
            </w:r>
            <w:r>
              <w:rPr>
                <w:rFonts w:hint="eastAsia" w:ascii="仿宋_GB2312" w:hAnsi="仿宋" w:eastAsia="仿宋_GB2312" w:cs="黑体"/>
                <w:kern w:val="0"/>
                <w:sz w:val="22"/>
                <w:szCs w:val="21"/>
              </w:rPr>
              <w:t>或</w:t>
            </w:r>
            <w:r>
              <w:rPr>
                <w:rFonts w:ascii="仿宋_GB2312" w:hAnsi="仿宋" w:eastAsia="仿宋_GB2312" w:cs="黑体"/>
                <w:kern w:val="0"/>
                <w:sz w:val="22"/>
                <w:szCs w:val="21"/>
              </w:rPr>
              <w:t>旱粮</w:t>
            </w:r>
            <w:r>
              <w:rPr>
                <w:rFonts w:hint="eastAsia" w:ascii="仿宋_GB2312" w:hAnsi="仿宋" w:eastAsia="仿宋_GB2312" w:cs="黑体"/>
                <w:kern w:val="0"/>
                <w:sz w:val="22"/>
                <w:szCs w:val="21"/>
              </w:rPr>
              <w:t>（玉米、</w:t>
            </w:r>
            <w:r>
              <w:rPr>
                <w:rFonts w:ascii="仿宋_GB2312" w:hAnsi="仿宋" w:eastAsia="仿宋_GB2312" w:cs="黑体"/>
                <w:kern w:val="0"/>
                <w:sz w:val="22"/>
                <w:szCs w:val="21"/>
              </w:rPr>
              <w:t>番薯、马铃薯</w:t>
            </w:r>
            <w:r>
              <w:rPr>
                <w:rFonts w:hint="eastAsia" w:ascii="仿宋_GB2312" w:hAnsi="仿宋" w:eastAsia="仿宋_GB2312" w:cs="黑体"/>
                <w:kern w:val="0"/>
                <w:sz w:val="22"/>
                <w:szCs w:val="21"/>
              </w:rPr>
              <w:t>或</w:t>
            </w:r>
            <w:r>
              <w:rPr>
                <w:rFonts w:ascii="仿宋_GB2312" w:hAnsi="仿宋" w:eastAsia="仿宋_GB2312" w:cs="黑体"/>
                <w:kern w:val="0"/>
                <w:sz w:val="22"/>
                <w:szCs w:val="21"/>
              </w:rPr>
              <w:t>大豆</w:t>
            </w:r>
            <w:r>
              <w:rPr>
                <w:rFonts w:hint="eastAsia" w:ascii="仿宋_GB2312" w:hAnsi="仿宋" w:eastAsia="仿宋_GB2312" w:cs="黑体"/>
                <w:kern w:val="0"/>
                <w:sz w:val="22"/>
                <w:szCs w:val="21"/>
              </w:rPr>
              <w:t>）匀施追肥一次。</w:t>
            </w:r>
          </w:p>
        </w:tc>
        <w:tc>
          <w:tcPr>
            <w:tcW w:w="4228" w:type="dxa"/>
            <w:vAlign w:val="center"/>
          </w:tcPr>
          <w:p w14:paraId="3FA0CCBB">
            <w:pPr>
              <w:adjustRightInd w:val="0"/>
              <w:snapToGrid w:val="0"/>
              <w:rPr>
                <w:rFonts w:ascii="仿宋_GB2312" w:hAnsi="仿宋" w:eastAsia="仿宋_GB2312" w:cs="黑体"/>
                <w:kern w:val="0"/>
                <w:sz w:val="22"/>
                <w:szCs w:val="21"/>
              </w:rPr>
            </w:pPr>
            <w:r>
              <w:rPr>
                <w:rFonts w:hint="default" w:ascii="仿宋_GB2312" w:hAnsi="仿宋" w:eastAsia="仿宋_GB2312" w:cs="黑体"/>
                <w:kern w:val="0"/>
                <w:sz w:val="22"/>
                <w:szCs w:val="21"/>
                <w:lang w:val="en-US" w:eastAsia="zh-CN"/>
              </w:rPr>
              <w:t>全区计划组织实施3.3万亩以内，具体实施面积以镇（街</w:t>
            </w:r>
            <w:r>
              <w:rPr>
                <w:rFonts w:hint="eastAsia" w:ascii="仿宋_GB2312" w:hAnsi="仿宋" w:eastAsia="仿宋_GB2312" w:cs="黑体"/>
                <w:kern w:val="0"/>
                <w:sz w:val="22"/>
                <w:szCs w:val="21"/>
                <w:lang w:val="en-US" w:eastAsia="zh-CN"/>
              </w:rPr>
              <w:t>）</w:t>
            </w:r>
            <w:r>
              <w:rPr>
                <w:rFonts w:hint="default" w:ascii="仿宋_GB2312" w:hAnsi="仿宋" w:eastAsia="仿宋_GB2312" w:cs="黑体"/>
                <w:kern w:val="0"/>
                <w:sz w:val="22"/>
                <w:szCs w:val="21"/>
                <w:lang w:val="en-US" w:eastAsia="zh-CN"/>
              </w:rPr>
              <w:t>申报遴选确定和中标结果为准</w:t>
            </w:r>
            <w:r>
              <w:rPr>
                <w:rFonts w:hint="eastAsia" w:ascii="仿宋_GB2312" w:hAnsi="仿宋" w:eastAsia="仿宋_GB2312" w:cs="黑体"/>
                <w:kern w:val="0"/>
                <w:sz w:val="22"/>
                <w:szCs w:val="21"/>
              </w:rPr>
              <w:t>，亩均匀撒施N+P2O5+K2O2≥32%的复合肥料或掺混肥料，</w:t>
            </w:r>
            <w:r>
              <w:rPr>
                <w:rFonts w:ascii="仿宋_GB2312" w:hAnsi="仿宋" w:eastAsia="仿宋_GB2312" w:cs="黑体"/>
                <w:kern w:val="0"/>
                <w:sz w:val="22"/>
                <w:szCs w:val="21"/>
              </w:rPr>
              <w:t>其中：</w:t>
            </w:r>
            <w:r>
              <w:rPr>
                <w:rFonts w:hint="eastAsia" w:ascii="仿宋_GB2312" w:hAnsi="仿宋" w:eastAsia="仿宋_GB2312" w:cs="黑体"/>
                <w:kern w:val="0"/>
                <w:sz w:val="22"/>
                <w:szCs w:val="21"/>
              </w:rPr>
              <w:t>冬种紫云英的肥料亩施量不少于11公斤；冬种蔬菜的肥料亩施量不少于20 公斤；冬种</w:t>
            </w:r>
            <w:r>
              <w:rPr>
                <w:rFonts w:ascii="仿宋_GB2312" w:hAnsi="仿宋" w:eastAsia="仿宋_GB2312" w:cs="黑体"/>
                <w:kern w:val="0"/>
                <w:sz w:val="22"/>
                <w:szCs w:val="21"/>
              </w:rPr>
              <w:t>旱粮</w:t>
            </w:r>
            <w:r>
              <w:rPr>
                <w:rFonts w:hint="eastAsia" w:ascii="仿宋_GB2312" w:hAnsi="仿宋" w:eastAsia="仿宋_GB2312" w:cs="黑体"/>
                <w:kern w:val="0"/>
                <w:sz w:val="22"/>
                <w:szCs w:val="21"/>
              </w:rPr>
              <w:t>的肥料亩施量不少于</w:t>
            </w:r>
            <w:r>
              <w:rPr>
                <w:rFonts w:ascii="仿宋_GB2312" w:hAnsi="仿宋" w:eastAsia="仿宋_GB2312" w:cs="黑体"/>
                <w:kern w:val="0"/>
                <w:sz w:val="22"/>
                <w:szCs w:val="21"/>
              </w:rPr>
              <w:t>26</w:t>
            </w:r>
            <w:r>
              <w:rPr>
                <w:rFonts w:hint="eastAsia" w:ascii="仿宋_GB2312" w:hAnsi="仿宋" w:eastAsia="仿宋_GB2312" w:cs="黑体"/>
                <w:kern w:val="0"/>
                <w:sz w:val="22"/>
                <w:szCs w:val="21"/>
              </w:rPr>
              <w:t>公斤。施用的肥料登记适宜作物与蔬菜相关，产品属部、省级登记或备案、且 2023 至 2024 年没有肥料监管部门抽查不合格情形。有机肥实施面积，由中标供应商与参与农户协商等价的肥料品种与数量。</w:t>
            </w:r>
          </w:p>
        </w:tc>
      </w:tr>
      <w:tr w14:paraId="62A022D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611" w:type="dxa"/>
            <w:vAlign w:val="center"/>
          </w:tcPr>
          <w:p w14:paraId="0FF5CDBB">
            <w:pPr>
              <w:adjustRightInd w:val="0"/>
              <w:snapToGrid w:val="0"/>
              <w:jc w:val="center"/>
              <w:rPr>
                <w:rFonts w:ascii="仿宋_GB2312" w:hAnsi="仿宋" w:eastAsia="仿宋_GB2312" w:cs="黑体"/>
                <w:kern w:val="0"/>
                <w:sz w:val="22"/>
                <w:szCs w:val="21"/>
                <w:highlight w:val="yellow"/>
              </w:rPr>
            </w:pPr>
            <w:r>
              <w:rPr>
                <w:rFonts w:hint="eastAsia" w:ascii="仿宋_GB2312" w:hAnsi="仿宋" w:eastAsia="仿宋_GB2312" w:cs="黑体"/>
                <w:kern w:val="0"/>
                <w:sz w:val="22"/>
                <w:szCs w:val="21"/>
              </w:rPr>
              <w:t>6</w:t>
            </w:r>
          </w:p>
        </w:tc>
        <w:tc>
          <w:tcPr>
            <w:tcW w:w="1448" w:type="dxa"/>
            <w:vAlign w:val="center"/>
          </w:tcPr>
          <w:p w14:paraId="18992491">
            <w:pPr>
              <w:adjustRightInd w:val="0"/>
              <w:snapToGrid w:val="0"/>
              <w:jc w:val="center"/>
              <w:rPr>
                <w:rFonts w:ascii="仿宋_GB2312" w:hAnsi="仿宋" w:eastAsia="仿宋_GB2312" w:cs="黑体"/>
                <w:kern w:val="0"/>
                <w:sz w:val="22"/>
                <w:szCs w:val="21"/>
              </w:rPr>
            </w:pPr>
            <w:r>
              <w:rPr>
                <w:rFonts w:hint="eastAsia" w:ascii="仿宋_GB2312" w:hAnsi="仿宋" w:eastAsia="仿宋_GB2312" w:cs="黑体"/>
                <w:kern w:val="0"/>
                <w:sz w:val="22"/>
                <w:szCs w:val="21"/>
              </w:rPr>
              <w:t>标竖示范标牌</w:t>
            </w:r>
          </w:p>
        </w:tc>
        <w:tc>
          <w:tcPr>
            <w:tcW w:w="4304" w:type="dxa"/>
            <w:vAlign w:val="center"/>
          </w:tcPr>
          <w:p w14:paraId="5262D1BF">
            <w:pPr>
              <w:adjustRightInd w:val="0"/>
              <w:snapToGrid w:val="0"/>
              <w:rPr>
                <w:rFonts w:ascii="仿宋_GB2312" w:hAnsi="仿宋" w:eastAsia="仿宋_GB2312" w:cs="黑体"/>
                <w:kern w:val="0"/>
                <w:sz w:val="22"/>
                <w:szCs w:val="21"/>
              </w:rPr>
            </w:pPr>
            <w:r>
              <w:rPr>
                <w:rFonts w:hint="eastAsia" w:ascii="仿宋_GB2312" w:hAnsi="仿宋" w:eastAsia="仿宋_GB2312" w:cs="黑体"/>
                <w:kern w:val="0"/>
                <w:sz w:val="22"/>
                <w:szCs w:val="21"/>
              </w:rPr>
              <w:t>选取有代表性的二个示范村标竖示范标牌。</w:t>
            </w:r>
          </w:p>
        </w:tc>
        <w:tc>
          <w:tcPr>
            <w:tcW w:w="4228" w:type="dxa"/>
            <w:vAlign w:val="center"/>
          </w:tcPr>
          <w:p w14:paraId="5CCC4F0C">
            <w:pPr>
              <w:adjustRightInd w:val="0"/>
              <w:snapToGrid w:val="0"/>
              <w:rPr>
                <w:rFonts w:ascii="仿宋_GB2312" w:hAnsi="仿宋" w:eastAsia="仿宋_GB2312" w:cs="黑体"/>
                <w:kern w:val="0"/>
                <w:sz w:val="22"/>
                <w:szCs w:val="21"/>
              </w:rPr>
            </w:pPr>
            <w:r>
              <w:rPr>
                <w:rFonts w:hint="eastAsia" w:ascii="仿宋_GB2312" w:hAnsi="仿宋" w:eastAsia="仿宋_GB2312" w:cs="黑体"/>
                <w:kern w:val="0"/>
                <w:sz w:val="22"/>
                <w:szCs w:val="21"/>
              </w:rPr>
              <w:t>共2个（每个规格：高1.2米，宽1.5米；蓝底白字， 材料为镀锌管、角铁和镀锌板等）。</w:t>
            </w:r>
          </w:p>
        </w:tc>
      </w:tr>
      <w:tr w14:paraId="3E00C8F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611" w:type="dxa"/>
            <w:vAlign w:val="center"/>
          </w:tcPr>
          <w:p w14:paraId="38B9E71F">
            <w:pPr>
              <w:adjustRightInd w:val="0"/>
              <w:snapToGrid w:val="0"/>
              <w:jc w:val="center"/>
              <w:rPr>
                <w:rFonts w:ascii="仿宋_GB2312" w:hAnsi="仿宋" w:eastAsia="仿宋_GB2312" w:cs="黑体"/>
                <w:kern w:val="0"/>
                <w:sz w:val="22"/>
                <w:szCs w:val="21"/>
              </w:rPr>
            </w:pPr>
            <w:r>
              <w:rPr>
                <w:rFonts w:hint="eastAsia" w:ascii="仿宋_GB2312" w:hAnsi="仿宋" w:eastAsia="仿宋_GB2312" w:cs="黑体"/>
                <w:kern w:val="0"/>
                <w:sz w:val="22"/>
                <w:szCs w:val="21"/>
              </w:rPr>
              <w:t>7</w:t>
            </w:r>
          </w:p>
        </w:tc>
        <w:tc>
          <w:tcPr>
            <w:tcW w:w="1448" w:type="dxa"/>
            <w:vAlign w:val="center"/>
          </w:tcPr>
          <w:p w14:paraId="7A114099">
            <w:pPr>
              <w:adjustRightInd w:val="0"/>
              <w:snapToGrid w:val="0"/>
              <w:jc w:val="center"/>
              <w:rPr>
                <w:rFonts w:ascii="仿宋_GB2312" w:hAnsi="仿宋" w:eastAsia="仿宋_GB2312" w:cs="黑体"/>
                <w:kern w:val="0"/>
                <w:sz w:val="22"/>
                <w:szCs w:val="21"/>
              </w:rPr>
            </w:pPr>
            <w:r>
              <w:rPr>
                <w:rFonts w:hint="eastAsia" w:ascii="仿宋_GB2312" w:hAnsi="仿宋" w:eastAsia="仿宋_GB2312" w:cs="黑体"/>
                <w:kern w:val="0"/>
                <w:sz w:val="22"/>
                <w:szCs w:val="21"/>
              </w:rPr>
              <w:t>效益评估</w:t>
            </w:r>
          </w:p>
        </w:tc>
        <w:tc>
          <w:tcPr>
            <w:tcW w:w="4304" w:type="dxa"/>
            <w:vAlign w:val="center"/>
          </w:tcPr>
          <w:p w14:paraId="673A3614">
            <w:pPr>
              <w:adjustRightInd w:val="0"/>
              <w:snapToGrid w:val="0"/>
              <w:rPr>
                <w:rFonts w:ascii="仿宋_GB2312" w:hAnsi="仿宋" w:eastAsia="仿宋_GB2312" w:cs="黑体"/>
                <w:kern w:val="0"/>
                <w:sz w:val="22"/>
                <w:szCs w:val="21"/>
              </w:rPr>
            </w:pPr>
            <w:r>
              <w:rPr>
                <w:rFonts w:hint="eastAsia" w:ascii="仿宋_GB2312" w:hAnsi="仿宋" w:eastAsia="仿宋_GB2312" w:cs="黑体"/>
                <w:kern w:val="0"/>
                <w:sz w:val="22"/>
                <w:szCs w:val="21"/>
              </w:rPr>
              <w:t>开展示范工作的经济、社会和生态效益等方面评估。</w:t>
            </w:r>
          </w:p>
        </w:tc>
        <w:tc>
          <w:tcPr>
            <w:tcW w:w="4228" w:type="dxa"/>
            <w:vAlign w:val="center"/>
          </w:tcPr>
          <w:p w14:paraId="6ECB9E40">
            <w:pPr>
              <w:adjustRightInd w:val="0"/>
              <w:snapToGrid w:val="0"/>
              <w:rPr>
                <w:rFonts w:ascii="仿宋_GB2312" w:hAnsi="仿宋" w:eastAsia="仿宋_GB2312" w:cs="黑体"/>
                <w:kern w:val="0"/>
                <w:sz w:val="22"/>
                <w:szCs w:val="21"/>
              </w:rPr>
            </w:pPr>
            <w:r>
              <w:rPr>
                <w:rFonts w:hint="eastAsia" w:ascii="仿宋_GB2312" w:hAnsi="仿宋" w:eastAsia="仿宋_GB2312" w:cs="黑体"/>
                <w:kern w:val="0"/>
                <w:sz w:val="22"/>
                <w:szCs w:val="21"/>
              </w:rPr>
              <w:t>形成项目效益绩效自评书面报告。</w:t>
            </w:r>
          </w:p>
        </w:tc>
      </w:tr>
      <w:tr w14:paraId="33542CC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611" w:type="dxa"/>
            <w:vAlign w:val="center"/>
          </w:tcPr>
          <w:p w14:paraId="38F725E4">
            <w:pPr>
              <w:adjustRightInd w:val="0"/>
              <w:snapToGrid w:val="0"/>
              <w:jc w:val="center"/>
              <w:rPr>
                <w:rFonts w:ascii="仿宋_GB2312" w:hAnsi="仿宋" w:eastAsia="仿宋_GB2312" w:cs="黑体"/>
                <w:kern w:val="0"/>
                <w:sz w:val="22"/>
                <w:szCs w:val="21"/>
              </w:rPr>
            </w:pPr>
            <w:r>
              <w:rPr>
                <w:rFonts w:hint="eastAsia" w:ascii="仿宋_GB2312" w:hAnsi="仿宋" w:eastAsia="仿宋_GB2312" w:cs="黑体"/>
                <w:kern w:val="0"/>
                <w:sz w:val="22"/>
                <w:szCs w:val="21"/>
              </w:rPr>
              <w:t>8</w:t>
            </w:r>
          </w:p>
        </w:tc>
        <w:tc>
          <w:tcPr>
            <w:tcW w:w="1448" w:type="dxa"/>
            <w:vAlign w:val="center"/>
          </w:tcPr>
          <w:p w14:paraId="0A655852">
            <w:pPr>
              <w:adjustRightInd w:val="0"/>
              <w:snapToGrid w:val="0"/>
              <w:jc w:val="center"/>
              <w:rPr>
                <w:rFonts w:ascii="仿宋_GB2312" w:hAnsi="仿宋" w:eastAsia="仿宋_GB2312" w:cs="黑体"/>
                <w:kern w:val="0"/>
                <w:sz w:val="22"/>
                <w:szCs w:val="21"/>
              </w:rPr>
            </w:pPr>
            <w:r>
              <w:rPr>
                <w:rFonts w:hint="eastAsia" w:ascii="仿宋_GB2312" w:hAnsi="仿宋" w:eastAsia="仿宋_GB2312" w:cs="黑体"/>
                <w:kern w:val="0"/>
                <w:sz w:val="22"/>
                <w:szCs w:val="21"/>
              </w:rPr>
              <w:t>满意度调查</w:t>
            </w:r>
          </w:p>
        </w:tc>
        <w:tc>
          <w:tcPr>
            <w:tcW w:w="4304" w:type="dxa"/>
            <w:vAlign w:val="center"/>
          </w:tcPr>
          <w:p w14:paraId="5D244592">
            <w:pPr>
              <w:adjustRightInd w:val="0"/>
              <w:snapToGrid w:val="0"/>
              <w:rPr>
                <w:rFonts w:ascii="仿宋_GB2312" w:hAnsi="仿宋" w:eastAsia="仿宋_GB2312" w:cs="黑体"/>
                <w:kern w:val="0"/>
                <w:sz w:val="22"/>
                <w:szCs w:val="21"/>
              </w:rPr>
            </w:pPr>
            <w:r>
              <w:rPr>
                <w:rFonts w:hint="eastAsia" w:ascii="仿宋_GB2312" w:hAnsi="仿宋" w:eastAsia="仿宋_GB2312" w:cs="黑体"/>
                <w:kern w:val="0"/>
                <w:sz w:val="22"/>
                <w:szCs w:val="21"/>
              </w:rPr>
              <w:t>示范镇（街）、村和农民评价。</w:t>
            </w:r>
          </w:p>
        </w:tc>
        <w:tc>
          <w:tcPr>
            <w:tcW w:w="4228" w:type="dxa"/>
            <w:vAlign w:val="center"/>
          </w:tcPr>
          <w:p w14:paraId="14742BEC">
            <w:pPr>
              <w:adjustRightInd w:val="0"/>
              <w:snapToGrid w:val="0"/>
              <w:rPr>
                <w:rFonts w:ascii="仿宋_GB2312" w:hAnsi="仿宋" w:eastAsia="仿宋_GB2312" w:cs="黑体"/>
                <w:kern w:val="0"/>
                <w:sz w:val="22"/>
                <w:szCs w:val="21"/>
              </w:rPr>
            </w:pPr>
            <w:r>
              <w:rPr>
                <w:rFonts w:ascii="仿宋_GB2312" w:hAnsi="仿宋" w:eastAsia="仿宋_GB2312" w:cs="黑体"/>
                <w:kern w:val="0"/>
                <w:sz w:val="22"/>
                <w:szCs w:val="21"/>
              </w:rPr>
              <w:t>3</w:t>
            </w:r>
            <w:r>
              <w:rPr>
                <w:rFonts w:hint="eastAsia" w:ascii="仿宋_GB2312" w:hAnsi="仿宋" w:eastAsia="仿宋_GB2312" w:cs="黑体"/>
                <w:kern w:val="0"/>
                <w:sz w:val="22"/>
                <w:szCs w:val="21"/>
              </w:rPr>
              <w:t>0份问卷平均满意分数≥90分</w:t>
            </w:r>
          </w:p>
        </w:tc>
      </w:tr>
      <w:tr w14:paraId="1A4E4A1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611" w:type="dxa"/>
            <w:vMerge w:val="restart"/>
            <w:vAlign w:val="center"/>
          </w:tcPr>
          <w:p w14:paraId="4DAEA9A3">
            <w:pPr>
              <w:adjustRightInd w:val="0"/>
              <w:snapToGrid w:val="0"/>
              <w:jc w:val="center"/>
              <w:rPr>
                <w:rFonts w:ascii="仿宋_GB2312" w:hAnsi="仿宋" w:eastAsia="仿宋_GB2312" w:cs="黑体"/>
                <w:kern w:val="0"/>
                <w:sz w:val="22"/>
                <w:szCs w:val="21"/>
              </w:rPr>
            </w:pPr>
            <w:r>
              <w:rPr>
                <w:rFonts w:hint="eastAsia" w:ascii="仿宋_GB2312" w:hAnsi="仿宋" w:eastAsia="仿宋_GB2312" w:cs="黑体"/>
                <w:kern w:val="0"/>
                <w:sz w:val="22"/>
                <w:szCs w:val="21"/>
              </w:rPr>
              <w:t>9</w:t>
            </w:r>
          </w:p>
        </w:tc>
        <w:tc>
          <w:tcPr>
            <w:tcW w:w="1448" w:type="dxa"/>
            <w:vMerge w:val="restart"/>
            <w:vAlign w:val="center"/>
          </w:tcPr>
          <w:p w14:paraId="4EA6E07C">
            <w:pPr>
              <w:adjustRightInd w:val="0"/>
              <w:snapToGrid w:val="0"/>
              <w:jc w:val="center"/>
              <w:rPr>
                <w:rFonts w:ascii="仿宋_GB2312" w:hAnsi="仿宋" w:eastAsia="仿宋_GB2312" w:cs="黑体"/>
                <w:kern w:val="0"/>
                <w:sz w:val="22"/>
                <w:szCs w:val="21"/>
              </w:rPr>
            </w:pPr>
            <w:r>
              <w:rPr>
                <w:rFonts w:hint="eastAsia" w:ascii="仿宋_GB2312" w:hAnsi="仿宋" w:eastAsia="仿宋_GB2312" w:cs="黑体"/>
                <w:kern w:val="0"/>
                <w:sz w:val="22"/>
                <w:szCs w:val="21"/>
              </w:rPr>
              <w:t>总结审计验收</w:t>
            </w:r>
          </w:p>
        </w:tc>
        <w:tc>
          <w:tcPr>
            <w:tcW w:w="4304" w:type="dxa"/>
            <w:vAlign w:val="center"/>
          </w:tcPr>
          <w:p w14:paraId="5CF1EC95">
            <w:pPr>
              <w:adjustRightInd w:val="0"/>
              <w:snapToGrid w:val="0"/>
              <w:rPr>
                <w:rFonts w:ascii="仿宋_GB2312" w:hAnsi="仿宋" w:eastAsia="仿宋_GB2312" w:cs="黑体"/>
                <w:kern w:val="0"/>
                <w:sz w:val="22"/>
                <w:szCs w:val="21"/>
              </w:rPr>
            </w:pPr>
            <w:r>
              <w:rPr>
                <w:rFonts w:hint="eastAsia" w:ascii="仿宋_GB2312" w:hAnsi="仿宋" w:eastAsia="仿宋_GB2312" w:cs="黑体"/>
                <w:kern w:val="0"/>
                <w:sz w:val="22"/>
                <w:szCs w:val="21"/>
              </w:rPr>
              <w:t>材料整理。</w:t>
            </w:r>
          </w:p>
        </w:tc>
        <w:tc>
          <w:tcPr>
            <w:tcW w:w="4228" w:type="dxa"/>
            <w:vAlign w:val="center"/>
          </w:tcPr>
          <w:p w14:paraId="1F97760A">
            <w:pPr>
              <w:adjustRightInd w:val="0"/>
              <w:snapToGrid w:val="0"/>
              <w:rPr>
                <w:rFonts w:ascii="仿宋_GB2312" w:hAnsi="仿宋" w:eastAsia="仿宋_GB2312" w:cs="黑体"/>
                <w:kern w:val="0"/>
                <w:sz w:val="22"/>
                <w:szCs w:val="21"/>
              </w:rPr>
            </w:pPr>
            <w:r>
              <w:rPr>
                <w:rFonts w:hint="eastAsia" w:ascii="仿宋_GB2312" w:hAnsi="仿宋" w:eastAsia="仿宋_GB2312" w:cs="黑体"/>
                <w:kern w:val="0"/>
                <w:sz w:val="22"/>
                <w:szCs w:val="21"/>
              </w:rPr>
              <w:t>提交实施项目的有关材料</w:t>
            </w:r>
          </w:p>
        </w:tc>
      </w:tr>
      <w:tr w14:paraId="18EFFA0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611" w:type="dxa"/>
            <w:vMerge w:val="continue"/>
            <w:vAlign w:val="center"/>
          </w:tcPr>
          <w:p w14:paraId="14D19B3D">
            <w:pPr>
              <w:adjustRightInd w:val="0"/>
              <w:snapToGrid w:val="0"/>
              <w:rPr>
                <w:rFonts w:ascii="仿宋_GB2312" w:hAnsi="仿宋" w:eastAsia="仿宋_GB2312" w:cs="黑体"/>
                <w:kern w:val="0"/>
                <w:sz w:val="22"/>
                <w:szCs w:val="21"/>
              </w:rPr>
            </w:pPr>
          </w:p>
        </w:tc>
        <w:tc>
          <w:tcPr>
            <w:tcW w:w="1448" w:type="dxa"/>
            <w:vMerge w:val="continue"/>
            <w:vAlign w:val="center"/>
          </w:tcPr>
          <w:p w14:paraId="60A709B4">
            <w:pPr>
              <w:adjustRightInd w:val="0"/>
              <w:snapToGrid w:val="0"/>
              <w:rPr>
                <w:rFonts w:ascii="仿宋_GB2312" w:hAnsi="仿宋" w:eastAsia="仿宋_GB2312" w:cs="黑体"/>
                <w:kern w:val="0"/>
                <w:sz w:val="22"/>
                <w:szCs w:val="21"/>
              </w:rPr>
            </w:pPr>
          </w:p>
        </w:tc>
        <w:tc>
          <w:tcPr>
            <w:tcW w:w="4304" w:type="dxa"/>
            <w:vAlign w:val="center"/>
          </w:tcPr>
          <w:p w14:paraId="25AE3FDA">
            <w:pPr>
              <w:adjustRightInd w:val="0"/>
              <w:snapToGrid w:val="0"/>
              <w:rPr>
                <w:rFonts w:ascii="仿宋_GB2312" w:hAnsi="仿宋" w:eastAsia="仿宋_GB2312" w:cs="黑体"/>
                <w:kern w:val="0"/>
                <w:sz w:val="22"/>
                <w:szCs w:val="21"/>
              </w:rPr>
            </w:pPr>
            <w:r>
              <w:rPr>
                <w:rFonts w:hint="eastAsia" w:ascii="仿宋_GB2312" w:hAnsi="仿宋" w:eastAsia="仿宋_GB2312" w:cs="黑体"/>
                <w:kern w:val="0"/>
                <w:sz w:val="22"/>
                <w:szCs w:val="21"/>
              </w:rPr>
              <w:t>项目审计。</w:t>
            </w:r>
          </w:p>
        </w:tc>
        <w:tc>
          <w:tcPr>
            <w:tcW w:w="4228" w:type="dxa"/>
            <w:vAlign w:val="center"/>
          </w:tcPr>
          <w:p w14:paraId="34A9DC90">
            <w:pPr>
              <w:adjustRightInd w:val="0"/>
              <w:snapToGrid w:val="0"/>
              <w:rPr>
                <w:rFonts w:ascii="仿宋_GB2312" w:hAnsi="仿宋" w:eastAsia="仿宋_GB2312" w:cs="黑体"/>
                <w:kern w:val="0"/>
                <w:sz w:val="22"/>
                <w:szCs w:val="21"/>
              </w:rPr>
            </w:pPr>
            <w:r>
              <w:rPr>
                <w:rFonts w:hint="eastAsia" w:ascii="仿宋_GB2312" w:hAnsi="仿宋" w:eastAsia="仿宋_GB2312" w:cs="黑体"/>
                <w:kern w:val="0"/>
                <w:sz w:val="22"/>
                <w:szCs w:val="21"/>
              </w:rPr>
              <w:t>提交资质机构审计报告</w:t>
            </w:r>
          </w:p>
        </w:tc>
      </w:tr>
      <w:tr w14:paraId="482ADEF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  <w:jc w:val="center"/>
        </w:trPr>
        <w:tc>
          <w:tcPr>
            <w:tcW w:w="611" w:type="dxa"/>
            <w:vMerge w:val="continue"/>
            <w:vAlign w:val="center"/>
          </w:tcPr>
          <w:p w14:paraId="10232C2A">
            <w:pPr>
              <w:adjustRightInd w:val="0"/>
              <w:snapToGrid w:val="0"/>
              <w:rPr>
                <w:rFonts w:ascii="仿宋_GB2312" w:hAnsi="仿宋" w:eastAsia="仿宋_GB2312" w:cs="黑体"/>
                <w:kern w:val="0"/>
                <w:sz w:val="22"/>
                <w:szCs w:val="21"/>
              </w:rPr>
            </w:pPr>
          </w:p>
        </w:tc>
        <w:tc>
          <w:tcPr>
            <w:tcW w:w="1448" w:type="dxa"/>
            <w:vMerge w:val="continue"/>
            <w:vAlign w:val="center"/>
          </w:tcPr>
          <w:p w14:paraId="3C4AD056">
            <w:pPr>
              <w:adjustRightInd w:val="0"/>
              <w:snapToGrid w:val="0"/>
              <w:rPr>
                <w:rFonts w:ascii="仿宋_GB2312" w:hAnsi="仿宋" w:eastAsia="仿宋_GB2312" w:cs="黑体"/>
                <w:kern w:val="0"/>
                <w:sz w:val="22"/>
                <w:szCs w:val="21"/>
              </w:rPr>
            </w:pPr>
          </w:p>
        </w:tc>
        <w:tc>
          <w:tcPr>
            <w:tcW w:w="4304" w:type="dxa"/>
            <w:vAlign w:val="center"/>
          </w:tcPr>
          <w:p w14:paraId="4895254C">
            <w:pPr>
              <w:adjustRightInd w:val="0"/>
              <w:snapToGrid w:val="0"/>
              <w:rPr>
                <w:rFonts w:ascii="仿宋_GB2312" w:hAnsi="仿宋" w:eastAsia="仿宋_GB2312" w:cs="黑体"/>
                <w:kern w:val="0"/>
                <w:sz w:val="22"/>
                <w:szCs w:val="21"/>
              </w:rPr>
            </w:pPr>
            <w:r>
              <w:rPr>
                <w:rFonts w:hint="eastAsia" w:ascii="仿宋_GB2312" w:hAnsi="仿宋" w:eastAsia="仿宋_GB2312" w:cs="黑体"/>
                <w:kern w:val="0"/>
                <w:sz w:val="22"/>
                <w:szCs w:val="21"/>
              </w:rPr>
              <w:t>项目总结、验收。</w:t>
            </w:r>
          </w:p>
        </w:tc>
        <w:tc>
          <w:tcPr>
            <w:tcW w:w="4228" w:type="dxa"/>
            <w:vAlign w:val="center"/>
          </w:tcPr>
          <w:p w14:paraId="4F4B04C6">
            <w:pPr>
              <w:adjustRightInd w:val="0"/>
              <w:snapToGrid w:val="0"/>
              <w:rPr>
                <w:rFonts w:ascii="仿宋_GB2312" w:hAnsi="仿宋" w:eastAsia="仿宋_GB2312" w:cs="黑体"/>
                <w:kern w:val="0"/>
                <w:sz w:val="22"/>
                <w:szCs w:val="21"/>
              </w:rPr>
            </w:pPr>
            <w:r>
              <w:rPr>
                <w:rFonts w:hint="eastAsia" w:ascii="仿宋_GB2312" w:hAnsi="仿宋" w:eastAsia="仿宋_GB2312" w:cs="黑体"/>
                <w:kern w:val="0"/>
                <w:sz w:val="22"/>
                <w:szCs w:val="21"/>
              </w:rPr>
              <w:t>2025年3月底前完成总结，申请验收。</w:t>
            </w:r>
          </w:p>
        </w:tc>
      </w:tr>
    </w:tbl>
    <w:p w14:paraId="78CBFE3D">
      <w:pPr>
        <w:spacing w:line="600" w:lineRule="exact"/>
        <w:rPr>
          <w:rFonts w:hint="default" w:ascii="黑体" w:hAnsi="黑体" w:eastAsia="黑体" w:cs="黑体"/>
          <w:szCs w:val="32"/>
          <w:lang w:val="en-US" w:eastAsia="zh-CN"/>
        </w:rPr>
      </w:pPr>
    </w:p>
    <w:sectPr>
      <w:pgSz w:w="11906" w:h="16838"/>
      <w:pgMar w:top="1701" w:right="1587" w:bottom="1417" w:left="1587" w:header="851" w:footer="459" w:gutter="0"/>
      <w:cols w:space="0" w:num="1"/>
      <w:docGrid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FangSong.GB2312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811862">
    <w:pPr>
      <w:pStyle w:val="10"/>
      <w:jc w:val="right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840764">
                          <w:pPr>
                            <w:pStyle w:val="10"/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13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bl05M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K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m5dOT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7840764">
                    <w:pPr>
                      <w:pStyle w:val="10"/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13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7EC6DCF5">
    <w:pPr>
      <w:pStyle w:val="10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2CD1ED">
    <w:pPr>
      <w:pStyle w:val="11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5671F9"/>
    <w:multiLevelType w:val="singleLevel"/>
    <w:tmpl w:val="B95671F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263E261"/>
    <w:multiLevelType w:val="singleLevel"/>
    <w:tmpl w:val="6263E26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NotTrackMoves/>
  <w:documentProtection w:enforcement="0"/>
  <w:defaultTabStop w:val="420"/>
  <w:drawingGridHorizontalSpacing w:val="160"/>
  <w:drawingGridVerticalSpacing w:val="579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0M2E4YWQ2NzA5ZTA4OTRjNGVjYmFlZWJmY2FlZmYifQ=="/>
  </w:docVars>
  <w:rsids>
    <w:rsidRoot w:val="000F1B41"/>
    <w:rsid w:val="0000454C"/>
    <w:rsid w:val="000068F8"/>
    <w:rsid w:val="00010CB0"/>
    <w:rsid w:val="00015641"/>
    <w:rsid w:val="000169A0"/>
    <w:rsid w:val="00016DA1"/>
    <w:rsid w:val="000239CB"/>
    <w:rsid w:val="00024431"/>
    <w:rsid w:val="00027AF7"/>
    <w:rsid w:val="000325D7"/>
    <w:rsid w:val="0003261F"/>
    <w:rsid w:val="00032F71"/>
    <w:rsid w:val="00033113"/>
    <w:rsid w:val="00037357"/>
    <w:rsid w:val="000566D8"/>
    <w:rsid w:val="00060890"/>
    <w:rsid w:val="00064A47"/>
    <w:rsid w:val="0007495D"/>
    <w:rsid w:val="000811F5"/>
    <w:rsid w:val="00081F0D"/>
    <w:rsid w:val="00083308"/>
    <w:rsid w:val="00086DE7"/>
    <w:rsid w:val="00091F8F"/>
    <w:rsid w:val="00092392"/>
    <w:rsid w:val="0009344D"/>
    <w:rsid w:val="00094DF4"/>
    <w:rsid w:val="00095A31"/>
    <w:rsid w:val="00096A2F"/>
    <w:rsid w:val="00096E91"/>
    <w:rsid w:val="000A42FC"/>
    <w:rsid w:val="000B4430"/>
    <w:rsid w:val="000C00ED"/>
    <w:rsid w:val="000C4D3D"/>
    <w:rsid w:val="000D077D"/>
    <w:rsid w:val="000D6119"/>
    <w:rsid w:val="000E4472"/>
    <w:rsid w:val="000E5B6E"/>
    <w:rsid w:val="000E6457"/>
    <w:rsid w:val="000E6FA5"/>
    <w:rsid w:val="000F16F8"/>
    <w:rsid w:val="000F1B41"/>
    <w:rsid w:val="000F23F7"/>
    <w:rsid w:val="000F2AB4"/>
    <w:rsid w:val="000F6A70"/>
    <w:rsid w:val="001021C2"/>
    <w:rsid w:val="00103867"/>
    <w:rsid w:val="00104C04"/>
    <w:rsid w:val="00106E10"/>
    <w:rsid w:val="00106FB6"/>
    <w:rsid w:val="00114A7F"/>
    <w:rsid w:val="001301CB"/>
    <w:rsid w:val="001379FE"/>
    <w:rsid w:val="00142BA2"/>
    <w:rsid w:val="001508F3"/>
    <w:rsid w:val="001510F5"/>
    <w:rsid w:val="00156F68"/>
    <w:rsid w:val="00166A58"/>
    <w:rsid w:val="001772F3"/>
    <w:rsid w:val="001817F1"/>
    <w:rsid w:val="00181A2D"/>
    <w:rsid w:val="0018229D"/>
    <w:rsid w:val="00187F92"/>
    <w:rsid w:val="0019493D"/>
    <w:rsid w:val="0019553B"/>
    <w:rsid w:val="001A36E5"/>
    <w:rsid w:val="001A4EEB"/>
    <w:rsid w:val="001B000D"/>
    <w:rsid w:val="001B2A43"/>
    <w:rsid w:val="001B5EF9"/>
    <w:rsid w:val="001B71F6"/>
    <w:rsid w:val="001C08C6"/>
    <w:rsid w:val="001C0AF5"/>
    <w:rsid w:val="001D03E1"/>
    <w:rsid w:val="001D5AE2"/>
    <w:rsid w:val="001E0AC4"/>
    <w:rsid w:val="001E289F"/>
    <w:rsid w:val="001E313A"/>
    <w:rsid w:val="0020568D"/>
    <w:rsid w:val="00210AA1"/>
    <w:rsid w:val="00213774"/>
    <w:rsid w:val="00217944"/>
    <w:rsid w:val="00220A99"/>
    <w:rsid w:val="002212BE"/>
    <w:rsid w:val="0022257C"/>
    <w:rsid w:val="002232AF"/>
    <w:rsid w:val="002342C4"/>
    <w:rsid w:val="002351AF"/>
    <w:rsid w:val="002361F1"/>
    <w:rsid w:val="00237208"/>
    <w:rsid w:val="00241B93"/>
    <w:rsid w:val="002446C0"/>
    <w:rsid w:val="00247EED"/>
    <w:rsid w:val="00250D4C"/>
    <w:rsid w:val="002532EB"/>
    <w:rsid w:val="00254A05"/>
    <w:rsid w:val="00260105"/>
    <w:rsid w:val="00261F9B"/>
    <w:rsid w:val="00263473"/>
    <w:rsid w:val="002637FA"/>
    <w:rsid w:val="00270C24"/>
    <w:rsid w:val="00271CDC"/>
    <w:rsid w:val="00271E7D"/>
    <w:rsid w:val="0028003D"/>
    <w:rsid w:val="002808A5"/>
    <w:rsid w:val="00280CE5"/>
    <w:rsid w:val="00283D05"/>
    <w:rsid w:val="00285640"/>
    <w:rsid w:val="002977F7"/>
    <w:rsid w:val="002A028B"/>
    <w:rsid w:val="002A342F"/>
    <w:rsid w:val="002A3C10"/>
    <w:rsid w:val="002A579C"/>
    <w:rsid w:val="002A6F2E"/>
    <w:rsid w:val="002B1569"/>
    <w:rsid w:val="002B3A46"/>
    <w:rsid w:val="002C0EB8"/>
    <w:rsid w:val="002C1D85"/>
    <w:rsid w:val="002C3437"/>
    <w:rsid w:val="002C4A49"/>
    <w:rsid w:val="002D2D7D"/>
    <w:rsid w:val="002D50A4"/>
    <w:rsid w:val="002D50A5"/>
    <w:rsid w:val="002D58BA"/>
    <w:rsid w:val="002F11F3"/>
    <w:rsid w:val="003054DC"/>
    <w:rsid w:val="00307089"/>
    <w:rsid w:val="003173A6"/>
    <w:rsid w:val="00325F62"/>
    <w:rsid w:val="00327F27"/>
    <w:rsid w:val="003433FB"/>
    <w:rsid w:val="00345B67"/>
    <w:rsid w:val="003472E0"/>
    <w:rsid w:val="0034790F"/>
    <w:rsid w:val="003541DF"/>
    <w:rsid w:val="0036046B"/>
    <w:rsid w:val="003678D6"/>
    <w:rsid w:val="00371EEA"/>
    <w:rsid w:val="00372570"/>
    <w:rsid w:val="00372C65"/>
    <w:rsid w:val="00373673"/>
    <w:rsid w:val="00373EC6"/>
    <w:rsid w:val="003976EE"/>
    <w:rsid w:val="003A06DF"/>
    <w:rsid w:val="003A1533"/>
    <w:rsid w:val="003A2189"/>
    <w:rsid w:val="003A28B2"/>
    <w:rsid w:val="003A68A2"/>
    <w:rsid w:val="003B021A"/>
    <w:rsid w:val="003B673C"/>
    <w:rsid w:val="003C0C3B"/>
    <w:rsid w:val="003C1190"/>
    <w:rsid w:val="003C1392"/>
    <w:rsid w:val="003C18D1"/>
    <w:rsid w:val="003C485B"/>
    <w:rsid w:val="003C7337"/>
    <w:rsid w:val="003D1A13"/>
    <w:rsid w:val="003D6247"/>
    <w:rsid w:val="003E03DF"/>
    <w:rsid w:val="003E5842"/>
    <w:rsid w:val="003E5E3B"/>
    <w:rsid w:val="00403BC0"/>
    <w:rsid w:val="0040602F"/>
    <w:rsid w:val="00406D04"/>
    <w:rsid w:val="00411B8B"/>
    <w:rsid w:val="004132EE"/>
    <w:rsid w:val="00413902"/>
    <w:rsid w:val="00425E10"/>
    <w:rsid w:val="00430FBC"/>
    <w:rsid w:val="0043176A"/>
    <w:rsid w:val="004344A2"/>
    <w:rsid w:val="00436216"/>
    <w:rsid w:val="00440AAF"/>
    <w:rsid w:val="004451A8"/>
    <w:rsid w:val="00453C76"/>
    <w:rsid w:val="00454403"/>
    <w:rsid w:val="004549E2"/>
    <w:rsid w:val="00454B8A"/>
    <w:rsid w:val="004550C0"/>
    <w:rsid w:val="0045569D"/>
    <w:rsid w:val="00460B25"/>
    <w:rsid w:val="004650E3"/>
    <w:rsid w:val="00474782"/>
    <w:rsid w:val="004768BB"/>
    <w:rsid w:val="00476A55"/>
    <w:rsid w:val="004770A6"/>
    <w:rsid w:val="00481B9B"/>
    <w:rsid w:val="00482FFE"/>
    <w:rsid w:val="004842AD"/>
    <w:rsid w:val="00490593"/>
    <w:rsid w:val="004973CA"/>
    <w:rsid w:val="004A0018"/>
    <w:rsid w:val="004A01D1"/>
    <w:rsid w:val="004A5F92"/>
    <w:rsid w:val="004A7D08"/>
    <w:rsid w:val="004B59F0"/>
    <w:rsid w:val="004C2140"/>
    <w:rsid w:val="004C2436"/>
    <w:rsid w:val="004C6969"/>
    <w:rsid w:val="004C7341"/>
    <w:rsid w:val="004D0BAD"/>
    <w:rsid w:val="004D2FA0"/>
    <w:rsid w:val="004D62C2"/>
    <w:rsid w:val="004E2635"/>
    <w:rsid w:val="004E6879"/>
    <w:rsid w:val="004E72BA"/>
    <w:rsid w:val="004F1884"/>
    <w:rsid w:val="004F21E8"/>
    <w:rsid w:val="004F4D0A"/>
    <w:rsid w:val="004F5424"/>
    <w:rsid w:val="004F7F86"/>
    <w:rsid w:val="00500C10"/>
    <w:rsid w:val="005051DF"/>
    <w:rsid w:val="00512629"/>
    <w:rsid w:val="00526E4B"/>
    <w:rsid w:val="0053143F"/>
    <w:rsid w:val="00542A97"/>
    <w:rsid w:val="0054409C"/>
    <w:rsid w:val="005448CA"/>
    <w:rsid w:val="00553772"/>
    <w:rsid w:val="0055380C"/>
    <w:rsid w:val="005562A5"/>
    <w:rsid w:val="00557E93"/>
    <w:rsid w:val="00575A72"/>
    <w:rsid w:val="00576B47"/>
    <w:rsid w:val="005838B1"/>
    <w:rsid w:val="00594552"/>
    <w:rsid w:val="005A43B3"/>
    <w:rsid w:val="005A54E4"/>
    <w:rsid w:val="005B0EF3"/>
    <w:rsid w:val="005B28E8"/>
    <w:rsid w:val="005B2C3C"/>
    <w:rsid w:val="005B336A"/>
    <w:rsid w:val="005B6BB2"/>
    <w:rsid w:val="005C0493"/>
    <w:rsid w:val="005C3246"/>
    <w:rsid w:val="005D0195"/>
    <w:rsid w:val="005D0BED"/>
    <w:rsid w:val="005D15D0"/>
    <w:rsid w:val="005D740D"/>
    <w:rsid w:val="005E3107"/>
    <w:rsid w:val="005E4D9A"/>
    <w:rsid w:val="005E58D4"/>
    <w:rsid w:val="005E5EFF"/>
    <w:rsid w:val="005F53B2"/>
    <w:rsid w:val="005F5D66"/>
    <w:rsid w:val="00607F5B"/>
    <w:rsid w:val="0062633B"/>
    <w:rsid w:val="006425BE"/>
    <w:rsid w:val="006437F9"/>
    <w:rsid w:val="00645881"/>
    <w:rsid w:val="006474EE"/>
    <w:rsid w:val="00657BF3"/>
    <w:rsid w:val="00663D26"/>
    <w:rsid w:val="00664B44"/>
    <w:rsid w:val="0067018E"/>
    <w:rsid w:val="00673D6A"/>
    <w:rsid w:val="006822FD"/>
    <w:rsid w:val="006826DE"/>
    <w:rsid w:val="006849D0"/>
    <w:rsid w:val="00686861"/>
    <w:rsid w:val="00691CFD"/>
    <w:rsid w:val="006956FD"/>
    <w:rsid w:val="00696816"/>
    <w:rsid w:val="006979FF"/>
    <w:rsid w:val="006A11B5"/>
    <w:rsid w:val="006A17C5"/>
    <w:rsid w:val="006A1FE8"/>
    <w:rsid w:val="006A2419"/>
    <w:rsid w:val="006A26B3"/>
    <w:rsid w:val="006A4902"/>
    <w:rsid w:val="006B12C8"/>
    <w:rsid w:val="006B38F7"/>
    <w:rsid w:val="006B4D4C"/>
    <w:rsid w:val="006B51AB"/>
    <w:rsid w:val="006B6CFB"/>
    <w:rsid w:val="006C3029"/>
    <w:rsid w:val="006C5640"/>
    <w:rsid w:val="006D47E6"/>
    <w:rsid w:val="006D48E0"/>
    <w:rsid w:val="006D4932"/>
    <w:rsid w:val="006D59B2"/>
    <w:rsid w:val="006D5B1F"/>
    <w:rsid w:val="006D5C61"/>
    <w:rsid w:val="006D65A3"/>
    <w:rsid w:val="006E1E22"/>
    <w:rsid w:val="006E325F"/>
    <w:rsid w:val="006F5569"/>
    <w:rsid w:val="007010C2"/>
    <w:rsid w:val="0071687B"/>
    <w:rsid w:val="00720828"/>
    <w:rsid w:val="00723CA3"/>
    <w:rsid w:val="00726C62"/>
    <w:rsid w:val="00726E9A"/>
    <w:rsid w:val="00735C39"/>
    <w:rsid w:val="00735DB4"/>
    <w:rsid w:val="007379B4"/>
    <w:rsid w:val="007479C1"/>
    <w:rsid w:val="00747CFE"/>
    <w:rsid w:val="007543E6"/>
    <w:rsid w:val="00760ADF"/>
    <w:rsid w:val="007635BF"/>
    <w:rsid w:val="00771561"/>
    <w:rsid w:val="00773045"/>
    <w:rsid w:val="0077777E"/>
    <w:rsid w:val="00780BB9"/>
    <w:rsid w:val="00782B6F"/>
    <w:rsid w:val="00786B1D"/>
    <w:rsid w:val="00786D56"/>
    <w:rsid w:val="00791781"/>
    <w:rsid w:val="007929A2"/>
    <w:rsid w:val="00797860"/>
    <w:rsid w:val="007A0FEC"/>
    <w:rsid w:val="007A2FC6"/>
    <w:rsid w:val="007A5CFF"/>
    <w:rsid w:val="007A74B4"/>
    <w:rsid w:val="007B3B80"/>
    <w:rsid w:val="007C007E"/>
    <w:rsid w:val="007C474D"/>
    <w:rsid w:val="007C6C43"/>
    <w:rsid w:val="007C7494"/>
    <w:rsid w:val="007D3928"/>
    <w:rsid w:val="007D3B2B"/>
    <w:rsid w:val="007E0D86"/>
    <w:rsid w:val="007E1492"/>
    <w:rsid w:val="007F309D"/>
    <w:rsid w:val="00801F4F"/>
    <w:rsid w:val="00813DB6"/>
    <w:rsid w:val="00813F36"/>
    <w:rsid w:val="00813FE9"/>
    <w:rsid w:val="008207C5"/>
    <w:rsid w:val="00820F3C"/>
    <w:rsid w:val="008226A8"/>
    <w:rsid w:val="00823CC6"/>
    <w:rsid w:val="00825535"/>
    <w:rsid w:val="00825A9D"/>
    <w:rsid w:val="00830CD4"/>
    <w:rsid w:val="00832230"/>
    <w:rsid w:val="00833187"/>
    <w:rsid w:val="008508EE"/>
    <w:rsid w:val="00861345"/>
    <w:rsid w:val="00865168"/>
    <w:rsid w:val="008676E9"/>
    <w:rsid w:val="00867B59"/>
    <w:rsid w:val="00871838"/>
    <w:rsid w:val="0087274C"/>
    <w:rsid w:val="008758B0"/>
    <w:rsid w:val="00875BF3"/>
    <w:rsid w:val="0088420F"/>
    <w:rsid w:val="00890F54"/>
    <w:rsid w:val="0089391E"/>
    <w:rsid w:val="008A1EDD"/>
    <w:rsid w:val="008A7496"/>
    <w:rsid w:val="008B0008"/>
    <w:rsid w:val="008B70CA"/>
    <w:rsid w:val="008C0B15"/>
    <w:rsid w:val="008C2D6A"/>
    <w:rsid w:val="008C3874"/>
    <w:rsid w:val="008C3A0F"/>
    <w:rsid w:val="008C3F63"/>
    <w:rsid w:val="008C7AAF"/>
    <w:rsid w:val="008D7D74"/>
    <w:rsid w:val="008E4976"/>
    <w:rsid w:val="008E5A99"/>
    <w:rsid w:val="008F04BF"/>
    <w:rsid w:val="008F0552"/>
    <w:rsid w:val="008F3D20"/>
    <w:rsid w:val="008F4328"/>
    <w:rsid w:val="008F5124"/>
    <w:rsid w:val="008F58BE"/>
    <w:rsid w:val="009129A1"/>
    <w:rsid w:val="00913C1A"/>
    <w:rsid w:val="009156D6"/>
    <w:rsid w:val="00916251"/>
    <w:rsid w:val="009244D2"/>
    <w:rsid w:val="009254D0"/>
    <w:rsid w:val="009267EF"/>
    <w:rsid w:val="009312A6"/>
    <w:rsid w:val="00931B46"/>
    <w:rsid w:val="00946965"/>
    <w:rsid w:val="0094799A"/>
    <w:rsid w:val="00950F35"/>
    <w:rsid w:val="0095575B"/>
    <w:rsid w:val="0095685F"/>
    <w:rsid w:val="00962EF6"/>
    <w:rsid w:val="00963536"/>
    <w:rsid w:val="00964AD1"/>
    <w:rsid w:val="00976E2C"/>
    <w:rsid w:val="009776F4"/>
    <w:rsid w:val="009834FD"/>
    <w:rsid w:val="00983DD3"/>
    <w:rsid w:val="00984CEB"/>
    <w:rsid w:val="00986A08"/>
    <w:rsid w:val="00996174"/>
    <w:rsid w:val="009A404F"/>
    <w:rsid w:val="009B726E"/>
    <w:rsid w:val="009C1696"/>
    <w:rsid w:val="009C295F"/>
    <w:rsid w:val="009D307E"/>
    <w:rsid w:val="009D4DE8"/>
    <w:rsid w:val="009D58C8"/>
    <w:rsid w:val="009D64E0"/>
    <w:rsid w:val="009D666D"/>
    <w:rsid w:val="009D7F3D"/>
    <w:rsid w:val="009E07ED"/>
    <w:rsid w:val="009E2824"/>
    <w:rsid w:val="009E49B2"/>
    <w:rsid w:val="009E6EAA"/>
    <w:rsid w:val="009F4C31"/>
    <w:rsid w:val="009F7D06"/>
    <w:rsid w:val="00A00C88"/>
    <w:rsid w:val="00A05B06"/>
    <w:rsid w:val="00A05DC1"/>
    <w:rsid w:val="00A142A7"/>
    <w:rsid w:val="00A1763C"/>
    <w:rsid w:val="00A23788"/>
    <w:rsid w:val="00A24D52"/>
    <w:rsid w:val="00A3468F"/>
    <w:rsid w:val="00A356D5"/>
    <w:rsid w:val="00A428AF"/>
    <w:rsid w:val="00A44037"/>
    <w:rsid w:val="00A514FD"/>
    <w:rsid w:val="00A53183"/>
    <w:rsid w:val="00A55AA0"/>
    <w:rsid w:val="00A653BB"/>
    <w:rsid w:val="00A734A9"/>
    <w:rsid w:val="00A778F8"/>
    <w:rsid w:val="00A80426"/>
    <w:rsid w:val="00A842B4"/>
    <w:rsid w:val="00A842BD"/>
    <w:rsid w:val="00A90728"/>
    <w:rsid w:val="00A93C65"/>
    <w:rsid w:val="00A968ED"/>
    <w:rsid w:val="00AA16A9"/>
    <w:rsid w:val="00AA5616"/>
    <w:rsid w:val="00AA62F6"/>
    <w:rsid w:val="00AB1BC4"/>
    <w:rsid w:val="00AB3D14"/>
    <w:rsid w:val="00AB6A94"/>
    <w:rsid w:val="00AC0E4F"/>
    <w:rsid w:val="00AD5469"/>
    <w:rsid w:val="00AE441A"/>
    <w:rsid w:val="00AF4FF6"/>
    <w:rsid w:val="00AF6CBC"/>
    <w:rsid w:val="00B01181"/>
    <w:rsid w:val="00B05283"/>
    <w:rsid w:val="00B05A8C"/>
    <w:rsid w:val="00B14CE2"/>
    <w:rsid w:val="00B17309"/>
    <w:rsid w:val="00B26593"/>
    <w:rsid w:val="00B27549"/>
    <w:rsid w:val="00B33DBF"/>
    <w:rsid w:val="00B34709"/>
    <w:rsid w:val="00B51276"/>
    <w:rsid w:val="00B76DC8"/>
    <w:rsid w:val="00B777A3"/>
    <w:rsid w:val="00B8127B"/>
    <w:rsid w:val="00B81943"/>
    <w:rsid w:val="00B8251A"/>
    <w:rsid w:val="00B861FD"/>
    <w:rsid w:val="00B900A3"/>
    <w:rsid w:val="00B912B5"/>
    <w:rsid w:val="00BA055B"/>
    <w:rsid w:val="00BA4E34"/>
    <w:rsid w:val="00BA57D5"/>
    <w:rsid w:val="00BB1BB1"/>
    <w:rsid w:val="00BB1CE6"/>
    <w:rsid w:val="00BB5290"/>
    <w:rsid w:val="00BD50DE"/>
    <w:rsid w:val="00BD70FB"/>
    <w:rsid w:val="00BE09BB"/>
    <w:rsid w:val="00BF002A"/>
    <w:rsid w:val="00BF00D0"/>
    <w:rsid w:val="00BF3A59"/>
    <w:rsid w:val="00C02C18"/>
    <w:rsid w:val="00C12F1A"/>
    <w:rsid w:val="00C1509C"/>
    <w:rsid w:val="00C3305C"/>
    <w:rsid w:val="00C439CB"/>
    <w:rsid w:val="00C4795C"/>
    <w:rsid w:val="00C51DB8"/>
    <w:rsid w:val="00C55DF0"/>
    <w:rsid w:val="00C651EC"/>
    <w:rsid w:val="00C709C3"/>
    <w:rsid w:val="00C7192A"/>
    <w:rsid w:val="00C71AEA"/>
    <w:rsid w:val="00C72CC9"/>
    <w:rsid w:val="00C77CE5"/>
    <w:rsid w:val="00C80F63"/>
    <w:rsid w:val="00C81686"/>
    <w:rsid w:val="00C819F5"/>
    <w:rsid w:val="00C833FB"/>
    <w:rsid w:val="00C90EE3"/>
    <w:rsid w:val="00C95E4C"/>
    <w:rsid w:val="00C96913"/>
    <w:rsid w:val="00C96A21"/>
    <w:rsid w:val="00C973ED"/>
    <w:rsid w:val="00CA3586"/>
    <w:rsid w:val="00CA41E1"/>
    <w:rsid w:val="00CA7C5E"/>
    <w:rsid w:val="00CB0E10"/>
    <w:rsid w:val="00CB4890"/>
    <w:rsid w:val="00CC231B"/>
    <w:rsid w:val="00CC391C"/>
    <w:rsid w:val="00CD0D31"/>
    <w:rsid w:val="00CD1DEB"/>
    <w:rsid w:val="00CD4535"/>
    <w:rsid w:val="00CD7220"/>
    <w:rsid w:val="00CE4978"/>
    <w:rsid w:val="00CE7ACF"/>
    <w:rsid w:val="00CF057F"/>
    <w:rsid w:val="00CF2BE4"/>
    <w:rsid w:val="00CF3681"/>
    <w:rsid w:val="00CF528E"/>
    <w:rsid w:val="00CF74ED"/>
    <w:rsid w:val="00D05A42"/>
    <w:rsid w:val="00D14276"/>
    <w:rsid w:val="00D1641E"/>
    <w:rsid w:val="00D16CB7"/>
    <w:rsid w:val="00D218E1"/>
    <w:rsid w:val="00D24E37"/>
    <w:rsid w:val="00D3157B"/>
    <w:rsid w:val="00D33985"/>
    <w:rsid w:val="00D37305"/>
    <w:rsid w:val="00D41CE6"/>
    <w:rsid w:val="00D56949"/>
    <w:rsid w:val="00D56B4A"/>
    <w:rsid w:val="00D57B91"/>
    <w:rsid w:val="00D60356"/>
    <w:rsid w:val="00D60A75"/>
    <w:rsid w:val="00D64F6B"/>
    <w:rsid w:val="00D664F5"/>
    <w:rsid w:val="00D73151"/>
    <w:rsid w:val="00D7500B"/>
    <w:rsid w:val="00D77D2F"/>
    <w:rsid w:val="00D83C06"/>
    <w:rsid w:val="00D937FD"/>
    <w:rsid w:val="00D97928"/>
    <w:rsid w:val="00DB067D"/>
    <w:rsid w:val="00DB26A4"/>
    <w:rsid w:val="00DC0C75"/>
    <w:rsid w:val="00DC1E29"/>
    <w:rsid w:val="00DC5E34"/>
    <w:rsid w:val="00DD68ED"/>
    <w:rsid w:val="00DE175F"/>
    <w:rsid w:val="00DE2B5E"/>
    <w:rsid w:val="00DE3E36"/>
    <w:rsid w:val="00DE4B87"/>
    <w:rsid w:val="00E03B56"/>
    <w:rsid w:val="00E06385"/>
    <w:rsid w:val="00E0725E"/>
    <w:rsid w:val="00E107CD"/>
    <w:rsid w:val="00E12EC7"/>
    <w:rsid w:val="00E14F4C"/>
    <w:rsid w:val="00E1587A"/>
    <w:rsid w:val="00E226EA"/>
    <w:rsid w:val="00E24B91"/>
    <w:rsid w:val="00E27AA0"/>
    <w:rsid w:val="00E307C9"/>
    <w:rsid w:val="00E413D1"/>
    <w:rsid w:val="00E4313B"/>
    <w:rsid w:val="00E43A60"/>
    <w:rsid w:val="00E44641"/>
    <w:rsid w:val="00E47A26"/>
    <w:rsid w:val="00E515E7"/>
    <w:rsid w:val="00E517CE"/>
    <w:rsid w:val="00E51C9A"/>
    <w:rsid w:val="00E51D06"/>
    <w:rsid w:val="00E529DC"/>
    <w:rsid w:val="00E56481"/>
    <w:rsid w:val="00E569A4"/>
    <w:rsid w:val="00E82812"/>
    <w:rsid w:val="00E90B4F"/>
    <w:rsid w:val="00E97544"/>
    <w:rsid w:val="00EA1A47"/>
    <w:rsid w:val="00EA5DA9"/>
    <w:rsid w:val="00EB0534"/>
    <w:rsid w:val="00EB20B2"/>
    <w:rsid w:val="00EB43B8"/>
    <w:rsid w:val="00EC5A37"/>
    <w:rsid w:val="00EC5B91"/>
    <w:rsid w:val="00ED6740"/>
    <w:rsid w:val="00EE460A"/>
    <w:rsid w:val="00F036CE"/>
    <w:rsid w:val="00F04673"/>
    <w:rsid w:val="00F04720"/>
    <w:rsid w:val="00F05EF3"/>
    <w:rsid w:val="00F0733D"/>
    <w:rsid w:val="00F07CF8"/>
    <w:rsid w:val="00F125E0"/>
    <w:rsid w:val="00F2317F"/>
    <w:rsid w:val="00F344BB"/>
    <w:rsid w:val="00F3749A"/>
    <w:rsid w:val="00F41890"/>
    <w:rsid w:val="00F4346F"/>
    <w:rsid w:val="00F50734"/>
    <w:rsid w:val="00F5761C"/>
    <w:rsid w:val="00F60C4D"/>
    <w:rsid w:val="00F659BA"/>
    <w:rsid w:val="00F66F37"/>
    <w:rsid w:val="00F80B10"/>
    <w:rsid w:val="00F81B5D"/>
    <w:rsid w:val="00F8479C"/>
    <w:rsid w:val="00F93DDE"/>
    <w:rsid w:val="00FA49E3"/>
    <w:rsid w:val="00FA53CF"/>
    <w:rsid w:val="00FA6797"/>
    <w:rsid w:val="00FA7DA5"/>
    <w:rsid w:val="00FB00FB"/>
    <w:rsid w:val="00FB0B32"/>
    <w:rsid w:val="00FB3D62"/>
    <w:rsid w:val="00FC40C7"/>
    <w:rsid w:val="00FC7F47"/>
    <w:rsid w:val="00FD6C99"/>
    <w:rsid w:val="00FE337C"/>
    <w:rsid w:val="00FE4F12"/>
    <w:rsid w:val="00FE6B72"/>
    <w:rsid w:val="00FE7790"/>
    <w:rsid w:val="00FF0236"/>
    <w:rsid w:val="00FF2607"/>
    <w:rsid w:val="00FF594D"/>
    <w:rsid w:val="02BD43D3"/>
    <w:rsid w:val="04584D4F"/>
    <w:rsid w:val="04C21077"/>
    <w:rsid w:val="04ED25CA"/>
    <w:rsid w:val="0696510E"/>
    <w:rsid w:val="0D3E3332"/>
    <w:rsid w:val="0E2042A8"/>
    <w:rsid w:val="129773E5"/>
    <w:rsid w:val="129C25ED"/>
    <w:rsid w:val="12A25B4F"/>
    <w:rsid w:val="1527184B"/>
    <w:rsid w:val="153C6D40"/>
    <w:rsid w:val="18A40E0B"/>
    <w:rsid w:val="1B7C38DD"/>
    <w:rsid w:val="1E234C86"/>
    <w:rsid w:val="1E36734D"/>
    <w:rsid w:val="1E8F0600"/>
    <w:rsid w:val="1FA83694"/>
    <w:rsid w:val="21C10A3D"/>
    <w:rsid w:val="26155296"/>
    <w:rsid w:val="26F5521B"/>
    <w:rsid w:val="278F6D95"/>
    <w:rsid w:val="27A10A57"/>
    <w:rsid w:val="29CA1994"/>
    <w:rsid w:val="2F3E36CD"/>
    <w:rsid w:val="301669C8"/>
    <w:rsid w:val="30171BAE"/>
    <w:rsid w:val="301729F2"/>
    <w:rsid w:val="30621492"/>
    <w:rsid w:val="3103544C"/>
    <w:rsid w:val="34883789"/>
    <w:rsid w:val="377658E2"/>
    <w:rsid w:val="37E25AD6"/>
    <w:rsid w:val="39017527"/>
    <w:rsid w:val="3BC70EC3"/>
    <w:rsid w:val="3ED96328"/>
    <w:rsid w:val="42C10446"/>
    <w:rsid w:val="4304139C"/>
    <w:rsid w:val="4339000D"/>
    <w:rsid w:val="44F32707"/>
    <w:rsid w:val="450B7626"/>
    <w:rsid w:val="45B84BA1"/>
    <w:rsid w:val="49583AFD"/>
    <w:rsid w:val="4A9F72BE"/>
    <w:rsid w:val="4AA84CFC"/>
    <w:rsid w:val="4E424F68"/>
    <w:rsid w:val="4E44209A"/>
    <w:rsid w:val="4EA5561D"/>
    <w:rsid w:val="4EBE2A19"/>
    <w:rsid w:val="4FBB00E3"/>
    <w:rsid w:val="569D4895"/>
    <w:rsid w:val="5DAB4AE2"/>
    <w:rsid w:val="5F237207"/>
    <w:rsid w:val="60A805F7"/>
    <w:rsid w:val="6584768F"/>
    <w:rsid w:val="66F56B62"/>
    <w:rsid w:val="676811E5"/>
    <w:rsid w:val="689E595C"/>
    <w:rsid w:val="761209AF"/>
    <w:rsid w:val="762443F1"/>
    <w:rsid w:val="76724FB9"/>
    <w:rsid w:val="77B40C56"/>
    <w:rsid w:val="7A5904A7"/>
    <w:rsid w:val="7BBE6CCF"/>
    <w:rsid w:val="7CD87968"/>
    <w:rsid w:val="7D2267B2"/>
    <w:rsid w:val="7E2B43E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qFormat="1" w:unhideWhenUsed="0" w:uiPriority="0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仿宋" w:cs="Times New Roman"/>
      <w:kern w:val="2"/>
      <w:sz w:val="32"/>
      <w:szCs w:val="22"/>
      <w:lang w:val="en-US" w:eastAsia="zh-CN" w:bidi="ar-SA"/>
    </w:rPr>
  </w:style>
  <w:style w:type="paragraph" w:styleId="3">
    <w:name w:val="heading 1"/>
    <w:basedOn w:val="1"/>
    <w:next w:val="1"/>
    <w:link w:val="23"/>
    <w:qFormat/>
    <w:uiPriority w:val="9"/>
    <w:pPr>
      <w:keepNext/>
      <w:keepLines/>
      <w:spacing w:before="340" w:after="330" w:line="578" w:lineRule="auto"/>
      <w:outlineLvl w:val="0"/>
    </w:pPr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paragraph" w:styleId="2">
    <w:name w:val="heading 3"/>
    <w:basedOn w:val="1"/>
    <w:next w:val="1"/>
    <w:qFormat/>
    <w:uiPriority w:val="0"/>
    <w:pPr>
      <w:keepNext/>
      <w:keepLines/>
      <w:spacing w:line="413" w:lineRule="auto"/>
      <w:outlineLvl w:val="2"/>
    </w:pPr>
    <w:rPr>
      <w:rFonts w:ascii="Times New Roman" w:hAnsi="Times New Roman" w:eastAsia="宋体" w:cs="Times New Roman"/>
      <w:sz w:val="21"/>
      <w:szCs w:val="24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able of authorities"/>
    <w:basedOn w:val="1"/>
    <w:next w:val="1"/>
    <w:qFormat/>
    <w:uiPriority w:val="0"/>
    <w:pPr>
      <w:spacing w:before="100" w:beforeAutospacing="1" w:after="100" w:afterAutospacing="1"/>
      <w:ind w:left="200" w:leftChars="200"/>
    </w:pPr>
  </w:style>
  <w:style w:type="paragraph" w:styleId="5">
    <w:name w:val="annotation text"/>
    <w:basedOn w:val="1"/>
    <w:link w:val="26"/>
    <w:qFormat/>
    <w:uiPriority w:val="0"/>
    <w:pPr>
      <w:jc w:val="left"/>
    </w:pPr>
    <w:rPr>
      <w:rFonts w:ascii="Calibri" w:hAnsi="Calibri" w:eastAsia="宋体"/>
      <w:sz w:val="21"/>
      <w:szCs w:val="24"/>
    </w:rPr>
  </w:style>
  <w:style w:type="paragraph" w:styleId="6">
    <w:name w:val="Body Text"/>
    <w:basedOn w:val="1"/>
    <w:link w:val="21"/>
    <w:qFormat/>
    <w:uiPriority w:val="0"/>
    <w:pPr>
      <w:spacing w:line="0" w:lineRule="atLeast"/>
    </w:pPr>
    <w:rPr>
      <w:rFonts w:eastAsia="小标宋"/>
      <w:sz w:val="44"/>
      <w:szCs w:val="32"/>
    </w:rPr>
  </w:style>
  <w:style w:type="paragraph" w:styleId="7">
    <w:name w:val="Body Text Indent"/>
    <w:basedOn w:val="1"/>
    <w:link w:val="24"/>
    <w:semiHidden/>
    <w:unhideWhenUsed/>
    <w:qFormat/>
    <w:uiPriority w:val="99"/>
    <w:pPr>
      <w:spacing w:after="120"/>
      <w:ind w:left="420" w:leftChars="200"/>
    </w:pPr>
  </w:style>
  <w:style w:type="paragraph" w:styleId="8">
    <w:name w:val="Date"/>
    <w:basedOn w:val="1"/>
    <w:next w:val="1"/>
    <w:link w:val="22"/>
    <w:semiHidden/>
    <w:unhideWhenUsed/>
    <w:qFormat/>
    <w:uiPriority w:val="99"/>
    <w:pPr>
      <w:ind w:left="100" w:leftChars="2500"/>
    </w:pPr>
  </w:style>
  <w:style w:type="paragraph" w:styleId="9">
    <w:name w:val="Balloon Text"/>
    <w:basedOn w:val="1"/>
    <w:link w:val="35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1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eastAsia="宋体" w:cs="宋体"/>
      <w:kern w:val="0"/>
      <w:sz w:val="24"/>
      <w:szCs w:val="24"/>
    </w:rPr>
  </w:style>
  <w:style w:type="table" w:styleId="14">
    <w:name w:val="Table Grid"/>
    <w:basedOn w:val="1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page number"/>
    <w:basedOn w:val="15"/>
    <w:qFormat/>
    <w:uiPriority w:val="0"/>
  </w:style>
  <w:style w:type="character" w:styleId="17">
    <w:name w:val="Hyperlink"/>
    <w:basedOn w:val="15"/>
    <w:unhideWhenUsed/>
    <w:qFormat/>
    <w:uiPriority w:val="99"/>
    <w:rPr>
      <w:color w:val="0000FF"/>
      <w:u w:val="single"/>
    </w:rPr>
  </w:style>
  <w:style w:type="character" w:styleId="18">
    <w:name w:val="annotation reference"/>
    <w:basedOn w:val="15"/>
    <w:semiHidden/>
    <w:unhideWhenUsed/>
    <w:qFormat/>
    <w:uiPriority w:val="99"/>
    <w:rPr>
      <w:sz w:val="21"/>
      <w:szCs w:val="21"/>
    </w:rPr>
  </w:style>
  <w:style w:type="character" w:customStyle="1" w:styleId="19">
    <w:name w:val="页眉 Char"/>
    <w:link w:val="11"/>
    <w:semiHidden/>
    <w:qFormat/>
    <w:uiPriority w:val="99"/>
    <w:rPr>
      <w:rFonts w:ascii="宋体" w:hAnsi="宋体" w:eastAsia="方正仿宋简体"/>
      <w:sz w:val="18"/>
      <w:szCs w:val="18"/>
    </w:rPr>
  </w:style>
  <w:style w:type="character" w:customStyle="1" w:styleId="20">
    <w:name w:val="页脚 Char"/>
    <w:link w:val="10"/>
    <w:qFormat/>
    <w:uiPriority w:val="99"/>
    <w:rPr>
      <w:rFonts w:ascii="宋体" w:hAnsi="宋体" w:eastAsia="方正仿宋简体"/>
      <w:sz w:val="18"/>
      <w:szCs w:val="18"/>
    </w:rPr>
  </w:style>
  <w:style w:type="character" w:customStyle="1" w:styleId="21">
    <w:name w:val="正文文本 Char"/>
    <w:link w:val="6"/>
    <w:qFormat/>
    <w:uiPriority w:val="0"/>
    <w:rPr>
      <w:rFonts w:ascii="宋体" w:hAnsi="宋体" w:eastAsia="小标宋" w:cs="Times New Roman"/>
      <w:sz w:val="44"/>
      <w:szCs w:val="32"/>
    </w:rPr>
  </w:style>
  <w:style w:type="character" w:customStyle="1" w:styleId="22">
    <w:name w:val="日期 Char"/>
    <w:basedOn w:val="15"/>
    <w:link w:val="8"/>
    <w:semiHidden/>
    <w:qFormat/>
    <w:uiPriority w:val="99"/>
    <w:rPr>
      <w:rFonts w:ascii="宋体" w:hAnsi="宋体" w:eastAsia="仿宋"/>
      <w:kern w:val="2"/>
      <w:sz w:val="32"/>
      <w:szCs w:val="22"/>
    </w:rPr>
  </w:style>
  <w:style w:type="character" w:customStyle="1" w:styleId="23">
    <w:name w:val="标题 1 Char"/>
    <w:basedOn w:val="15"/>
    <w:link w:val="3"/>
    <w:qFormat/>
    <w:uiPriority w:val="9"/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character" w:customStyle="1" w:styleId="24">
    <w:name w:val="正文文本缩进 Char"/>
    <w:basedOn w:val="15"/>
    <w:link w:val="7"/>
    <w:semiHidden/>
    <w:qFormat/>
    <w:uiPriority w:val="99"/>
    <w:rPr>
      <w:rFonts w:ascii="宋体" w:hAnsi="宋体" w:eastAsia="仿宋"/>
      <w:kern w:val="2"/>
      <w:sz w:val="32"/>
      <w:szCs w:val="22"/>
    </w:rPr>
  </w:style>
  <w:style w:type="character" w:customStyle="1" w:styleId="25">
    <w:name w:val="批注文字 Char"/>
    <w:basedOn w:val="15"/>
    <w:link w:val="5"/>
    <w:qFormat/>
    <w:uiPriority w:val="0"/>
    <w:rPr>
      <w:kern w:val="2"/>
      <w:sz w:val="21"/>
      <w:szCs w:val="24"/>
    </w:rPr>
  </w:style>
  <w:style w:type="character" w:customStyle="1" w:styleId="26">
    <w:name w:val="批注文字 Char1"/>
    <w:basedOn w:val="15"/>
    <w:link w:val="5"/>
    <w:semiHidden/>
    <w:qFormat/>
    <w:uiPriority w:val="99"/>
    <w:rPr>
      <w:rFonts w:ascii="宋体" w:hAnsi="宋体" w:eastAsia="仿宋"/>
      <w:kern w:val="2"/>
      <w:sz w:val="32"/>
      <w:szCs w:val="22"/>
    </w:rPr>
  </w:style>
  <w:style w:type="character" w:customStyle="1" w:styleId="27">
    <w:name w:val="font2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28">
    <w:name w:val="样式1"/>
    <w:basedOn w:val="11"/>
    <w:link w:val="30"/>
    <w:qFormat/>
    <w:uiPriority w:val="0"/>
    <w:pPr>
      <w:pBdr>
        <w:bottom w:val="none" w:color="auto" w:sz="0" w:space="0"/>
      </w:pBdr>
    </w:pPr>
  </w:style>
  <w:style w:type="paragraph" w:customStyle="1" w:styleId="29">
    <w:name w:val="样式2"/>
    <w:basedOn w:val="11"/>
    <w:link w:val="31"/>
    <w:qFormat/>
    <w:uiPriority w:val="0"/>
    <w:pPr>
      <w:pBdr>
        <w:bottom w:val="none" w:color="auto" w:sz="0" w:space="0"/>
      </w:pBdr>
    </w:pPr>
  </w:style>
  <w:style w:type="character" w:customStyle="1" w:styleId="30">
    <w:name w:val="样式1 Char"/>
    <w:basedOn w:val="19"/>
    <w:link w:val="28"/>
    <w:qFormat/>
    <w:uiPriority w:val="0"/>
    <w:rPr>
      <w:rFonts w:eastAsia="仿宋"/>
      <w:kern w:val="2"/>
    </w:rPr>
  </w:style>
  <w:style w:type="character" w:customStyle="1" w:styleId="31">
    <w:name w:val="样式2 Char"/>
    <w:basedOn w:val="19"/>
    <w:link w:val="29"/>
    <w:qFormat/>
    <w:uiPriority w:val="0"/>
    <w:rPr>
      <w:rFonts w:eastAsia="仿宋"/>
      <w:kern w:val="2"/>
    </w:rPr>
  </w:style>
  <w:style w:type="paragraph" w:customStyle="1" w:styleId="32">
    <w:name w:val="样式3"/>
    <w:basedOn w:val="11"/>
    <w:link w:val="33"/>
    <w:qFormat/>
    <w:uiPriority w:val="0"/>
    <w:pPr>
      <w:pBdr>
        <w:bottom w:val="none" w:color="auto" w:sz="0" w:space="0"/>
      </w:pBdr>
    </w:pPr>
  </w:style>
  <w:style w:type="character" w:customStyle="1" w:styleId="33">
    <w:name w:val="样式3 Char"/>
    <w:basedOn w:val="19"/>
    <w:link w:val="32"/>
    <w:qFormat/>
    <w:uiPriority w:val="0"/>
    <w:rPr>
      <w:rFonts w:eastAsia="仿宋"/>
      <w:kern w:val="2"/>
    </w:rPr>
  </w:style>
  <w:style w:type="character" w:customStyle="1" w:styleId="34">
    <w:name w:val="fontstyle01"/>
    <w:basedOn w:val="15"/>
    <w:qFormat/>
    <w:uiPriority w:val="0"/>
    <w:rPr>
      <w:rFonts w:hint="default" w:ascii="FangSong.GB2312" w:hAnsi="FangSong.GB2312"/>
      <w:color w:val="000000"/>
      <w:sz w:val="32"/>
      <w:szCs w:val="32"/>
    </w:rPr>
  </w:style>
  <w:style w:type="character" w:customStyle="1" w:styleId="35">
    <w:name w:val="批注框文本 Char"/>
    <w:basedOn w:val="15"/>
    <w:link w:val="9"/>
    <w:semiHidden/>
    <w:qFormat/>
    <w:uiPriority w:val="99"/>
    <w:rPr>
      <w:rFonts w:ascii="宋体" w:hAnsi="宋体" w:eastAsia="仿宋"/>
      <w:kern w:val="2"/>
      <w:sz w:val="18"/>
      <w:szCs w:val="18"/>
    </w:rPr>
  </w:style>
  <w:style w:type="character" w:customStyle="1" w:styleId="36">
    <w:name w:val="font71"/>
    <w:basedOn w:val="15"/>
    <w:qFormat/>
    <w:uiPriority w:val="0"/>
    <w:rPr>
      <w:rFonts w:ascii="仿宋_GB2312" w:eastAsia="仿宋_GB2312" w:cs="仿宋_GB2312"/>
      <w:color w:val="000000"/>
      <w:sz w:val="32"/>
      <w:szCs w:val="32"/>
      <w:u w:val="none"/>
    </w:rPr>
  </w:style>
  <w:style w:type="character" w:customStyle="1" w:styleId="37">
    <w:name w:val="font91"/>
    <w:basedOn w:val="15"/>
    <w:qFormat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5D388EF-536B-4B47-99BC-10D10FBC2FD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14</Pages>
  <Words>5703</Words>
  <Characters>5959</Characters>
  <Lines>48</Lines>
  <Paragraphs>13</Paragraphs>
  <TotalTime>2</TotalTime>
  <ScaleCrop>false</ScaleCrop>
  <LinksUpToDate>false</LinksUpToDate>
  <CharactersWithSpaces>6356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2023-06-15T06:57:00Z</dcterms:created>
  <dc:creator>区农林局收发员</dc:creator>
  <cp:lastModifiedBy>廖俊杰</cp:lastModifiedBy>
  <cp:lastPrinted>2021-01-13T10:13:00Z</cp:lastPrinted>
  <dcterms:modified xsi:type="dcterms:W3CDTF">2024-08-29T02:23:18Z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4A560817EEFF4D9D8BEFDDE57B2A5B14_13</vt:lpwstr>
  </property>
</Properties>
</file>