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CC0AD">
      <w:pPr>
        <w:pStyle w:val="2"/>
        <w:numPr>
          <w:ilvl w:val="0"/>
          <w:numId w:val="0"/>
        </w:numPr>
        <w:ind w:left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tbl>
      <w:tblPr>
        <w:tblStyle w:val="3"/>
        <w:tblW w:w="0" w:type="auto"/>
        <w:tblInd w:w="-432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1440"/>
        <w:gridCol w:w="1620"/>
        <w:gridCol w:w="4139"/>
        <w:gridCol w:w="1513"/>
      </w:tblGrid>
      <w:tr w14:paraId="19C2168D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332" w:type="dxa"/>
            <w:gridSpan w:val="6"/>
            <w:tcBorders>
              <w:left w:val="nil"/>
              <w:right w:val="nil"/>
            </w:tcBorders>
            <w:noWrap/>
            <w:vAlign w:val="center"/>
          </w:tcPr>
          <w:p w14:paraId="4918E09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新会区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高素质农民培育项目培训机构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遴选评分表</w:t>
            </w:r>
          </w:p>
        </w:tc>
      </w:tr>
      <w:tr w14:paraId="0C7C5A24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E3F75E5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项目申报单位</w:t>
            </w:r>
          </w:p>
        </w:tc>
        <w:tc>
          <w:tcPr>
            <w:tcW w:w="871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3F002EA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B8E81F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2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F08068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1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5D13B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▲未被列入广东省农业农村厅公布的培训机构目录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 w14:paraId="4CB2557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是   否</w:t>
            </w:r>
          </w:p>
        </w:tc>
      </w:tr>
      <w:tr w14:paraId="721A9E3C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2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62035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1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E90A09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▲最近三年实施的培训项目存在未通过验收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 w14:paraId="78B5A15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是   否</w:t>
            </w:r>
          </w:p>
        </w:tc>
      </w:tr>
      <w:tr w14:paraId="2B33702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2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090EE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1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79BBC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▲提供虚假证明或佐证材料造假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 w14:paraId="0DE7EF2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是   否</w:t>
            </w:r>
          </w:p>
        </w:tc>
      </w:tr>
      <w:tr w14:paraId="4043CAA5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4C471FE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0862384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评审</w:t>
            </w:r>
          </w:p>
          <w:p w14:paraId="6DD4BAF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项目</w:t>
            </w:r>
          </w:p>
        </w:tc>
        <w:tc>
          <w:tcPr>
            <w:tcW w:w="71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ABCCBB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项目评分参考内容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 w14:paraId="160A237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评分</w:t>
            </w:r>
          </w:p>
        </w:tc>
      </w:tr>
      <w:tr w14:paraId="678F7016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4B92F1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190F912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培训机构资质条件（15分）</w:t>
            </w:r>
          </w:p>
        </w:tc>
        <w:tc>
          <w:tcPr>
            <w:tcW w:w="71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A8958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获得国家级新型职业农民培育示范基地(10分），获得省级示范基地的培训机构(5分)，其他0分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/>
            <w:vAlign w:val="center"/>
          </w:tcPr>
          <w:p w14:paraId="7752DA4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797085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703A2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80E08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1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76F95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申报单位具有独立法人资格，不接受两个或两个以上机构合作申报（5分）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/>
            <w:vAlign w:val="center"/>
          </w:tcPr>
          <w:p w14:paraId="1BA6761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3B80E8A6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E1B6D9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B883220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培训机构的工作基础（27分）</w:t>
            </w:r>
          </w:p>
        </w:tc>
        <w:tc>
          <w:tcPr>
            <w:tcW w:w="71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FD8F88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最近三年培训学员满意度。满意度≥95%，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得15分；90%≤满意度&lt;95%，得10分；85%≤满意度&lt;90%，得5分。满意度低于85%不得分。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/>
            <w:vAlign w:val="center"/>
          </w:tcPr>
          <w:p w14:paraId="7B054DE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76A6E6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48129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A9BD7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1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5C670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有集中教学场所及配套设施设备(提供照片及清单）（3分）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/>
            <w:vAlign w:val="center"/>
          </w:tcPr>
          <w:p w14:paraId="768E47A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3B4048AC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1A138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BD363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1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88D63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有实习实训场所或合作实训基地（提供场所证明）（3分）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/>
            <w:vAlign w:val="center"/>
          </w:tcPr>
          <w:p w14:paraId="3EBA43A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E2DFED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48281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DCE4F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1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0F505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有专职教学管理人员和专兼职教师队伍（提供人员名单）（3分）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/>
            <w:vAlign w:val="center"/>
          </w:tcPr>
          <w:p w14:paraId="0BAD27A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35030E8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9C017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D456D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1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2B4E0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有培训目标所要求的其他软硬件条件（提供照片等佐证材料）（3分）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/>
            <w:vAlign w:val="center"/>
          </w:tcPr>
          <w:p w14:paraId="2307D4F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40D8E83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42A8E1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EAA092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培训机构项目实施条件（33分）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168746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根据广东省农业农村厅《202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年广东省高素质农民培育实施方案》的要求制定培训方案（30分，不符合要求的项目不得分）</w:t>
            </w:r>
          </w:p>
        </w:tc>
        <w:tc>
          <w:tcPr>
            <w:tcW w:w="5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2FAA4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理论讲师具有相关专业授课背景的院校教师。（3分）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 w14:paraId="617CA9B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6D13F1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6A1F8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8E9A3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D5A46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EF64A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技术讲师具备相应技术理论和实践能力的院校教师、科研推广机构专家、各类农业主体专业技术人员或“广东农村乡土专家”等（3分）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 w14:paraId="3E57C88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33D4A483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B6D10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A4B3A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8B89E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C84E2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政策讲师为熟悉“三农”情况、具备相应政策理论水平的院校教师，或相关部门工作人员（不含退休人员）（3分）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 w14:paraId="0A4B026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96AE67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0243B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6E277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162AC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9A3C4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实践讲师具备相应职业技能证书或3年以上（含）实践经验（3分）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 w14:paraId="68E7CE0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0AEC83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8A685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72A15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17618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313B9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创业指导老师具有创业成功或指导创业成功经验（3分）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 w14:paraId="20905A1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4F1F9111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BEAA4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6BE4F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EA625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8D03E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电商网红讲师可为有成功培训经验或实践经验的相关人士（3分）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 w14:paraId="175FF5E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D537704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440BD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24604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3CD0E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E72C9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培训机构需购买正式出版的教材，防止盗版教材或自编教材乱报价等现象。发放4本或4本以上教材资料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，并向项目主管单位提供1份授课老师精品课程DVD光盘资料和完整的培训资料电子档案。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（3分）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 w14:paraId="2A091B3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C546BB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B8FFA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E710A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C0000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ECE24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组织学员到2个以上涉农高校、国家（省、市）现代农业产业园、生态农业产业园、现代农业科技示范展示基地或省级认定的高素质农民培育示范基地（以上统称实训学习基地）进行实训、参观、交流和学习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聘请实训学习基地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人员（乡土专家）授课（3分）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 w14:paraId="068F386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41F412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8DCBC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EFCF1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351D1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72A13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组织学员利用全国农业科教云平台、“云上智农”APP或广东精农网络培训学院开展线上学习（3分）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 w14:paraId="511DBB5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4849F57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C7AA4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9E686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9E535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AE963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组织学员到省（市）电商产业园、省农村实用人才（数字化类）培训基地、农村电商基层示范站或县（区）电商基地参观学习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聘请企业高管授课（3分）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 w14:paraId="4CCB6E8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54C57D9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29751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EC248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1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72124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申报单位承诺不得将项目分包、转包。如存在将培训项目分包、转包，取消培训任务并追缴项目资金（提供承诺函）（3分）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 w14:paraId="17EFBE72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D10A98C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3C0D6A2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16877FC6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培训机构对项目实施可行性（5分）</w:t>
            </w:r>
          </w:p>
        </w:tc>
        <w:tc>
          <w:tcPr>
            <w:tcW w:w="71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04B690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配备有专职的信息员负责信息管理平台的使用和管理（5分）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 w14:paraId="27B8013A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53CE688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33E62F9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6F368CB1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资金预算和使用合理性（10分）</w:t>
            </w:r>
          </w:p>
        </w:tc>
        <w:tc>
          <w:tcPr>
            <w:tcW w:w="71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4865D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申报单位须有健全账务部门和财务管理制度；资金用途符合《202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年广东省高素质农民培育实施方案》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《广东省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2024年基层农技推广体系改革与建设项目实施方案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的资金规定范围，资金预算细化、合理；遵守培育项目及相关的资金管理规定。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 w14:paraId="566D2C1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EBF2D3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04DF5FA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2A7F833A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示范带动作用与延伸服务（10分）</w:t>
            </w:r>
          </w:p>
        </w:tc>
        <w:tc>
          <w:tcPr>
            <w:tcW w:w="71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8AC9EA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能够加强政策和先进典型宣传，搭建交流平台，大力宣传成功案例和高素质农民典型等培育成果，营造关心支持培育新型职业农民的良好氛围，壮大新型职业农民队伍。未能提供培训班或学员成功案例的报道，不得分。提供1篇案例的得2分，最多得10分。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 w14:paraId="2B8ADA3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5DB601E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339EF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94DA07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加分项</w:t>
            </w:r>
          </w:p>
        </w:tc>
        <w:tc>
          <w:tcPr>
            <w:tcW w:w="71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AD920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最近三年在江门市承担过同类培训任务（5分）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 w14:paraId="435DE57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79FE3BB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2F4B9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BF67D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1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EED1FB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异地培训机构在江门市设立分支机构（3分）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 w14:paraId="44C41C7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475A229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A58D9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9C370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1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A7C5E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邀请来自江门本地的技术讲师（2分）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 w14:paraId="58403B1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37EA68D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599CD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7F97C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1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FEA9B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培训方案内容体现江门农业产业发展特点（2分）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center"/>
          </w:tcPr>
          <w:p w14:paraId="29EC334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654689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33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BC3DDC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注：1、▲是一票否决项，满足任何一项即失去参加遴选资格。2、评审结论标准：综合得分低于60分“不可行”；61-79分“基本可行“；80分以上“可行”。</w:t>
            </w:r>
          </w:p>
        </w:tc>
      </w:tr>
      <w:tr w14:paraId="0AE16C34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3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491E28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                综合得分</w:t>
            </w:r>
          </w:p>
        </w:tc>
      </w:tr>
      <w:tr w14:paraId="7E324F0D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6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F2F52C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评审结论</w:t>
            </w:r>
          </w:p>
        </w:tc>
        <w:tc>
          <w:tcPr>
            <w:tcW w:w="56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3B0A9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可行         基本可行不可行</w:t>
            </w:r>
          </w:p>
        </w:tc>
      </w:tr>
      <w:tr w14:paraId="33F97A1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6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737866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专家签名</w:t>
            </w:r>
          </w:p>
        </w:tc>
        <w:tc>
          <w:tcPr>
            <w:tcW w:w="5652" w:type="dxa"/>
            <w:gridSpan w:val="2"/>
            <w:tcBorders>
              <w:tl2br w:val="nil"/>
              <w:tr2bl w:val="nil"/>
            </w:tcBorders>
            <w:noWrap w:val="0"/>
            <w:vAlign w:val="bottom"/>
          </w:tcPr>
          <w:p w14:paraId="14C289C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 xml:space="preserve">         评审日期：</w:t>
            </w:r>
          </w:p>
        </w:tc>
      </w:tr>
    </w:tbl>
    <w:p w14:paraId="68335519">
      <w:pPr>
        <w:pStyle w:val="5"/>
        <w:spacing w:before="0" w:beforeAutospacing="0" w:after="0" w:afterAutospacing="0" w:line="560" w:lineRule="exact"/>
        <w:ind w:right="640"/>
        <w:jc w:val="both"/>
        <w:rPr>
          <w:rFonts w:ascii="仿宋" w:hAnsi="仿宋" w:eastAsia="仿宋" w:cs="Arial"/>
          <w:color w:val="000000"/>
          <w:sz w:val="32"/>
          <w:szCs w:val="32"/>
        </w:rPr>
      </w:pPr>
    </w:p>
    <w:p w14:paraId="3DF165FE">
      <w:pPr>
        <w:bidi w:val="0"/>
      </w:pPr>
    </w:p>
    <w:p w14:paraId="331ECDA6">
      <w:pPr>
        <w:bidi w:val="0"/>
      </w:pPr>
    </w:p>
    <w:p w14:paraId="1B176C37">
      <w:pPr>
        <w:bidi w:val="0"/>
      </w:pPr>
    </w:p>
    <w:p w14:paraId="064E565D">
      <w:pPr>
        <w:bidi w:val="0"/>
      </w:pPr>
    </w:p>
    <w:p w14:paraId="4642C69C">
      <w:pPr>
        <w:bidi w:val="0"/>
      </w:pPr>
    </w:p>
    <w:p w14:paraId="26B2A36F">
      <w:pPr>
        <w:bidi w:val="0"/>
      </w:pPr>
    </w:p>
    <w:p w14:paraId="38DF835A">
      <w:pPr>
        <w:bidi w:val="0"/>
      </w:pPr>
    </w:p>
    <w:p w14:paraId="3AC3374D">
      <w:pPr>
        <w:bidi w:val="0"/>
      </w:pPr>
    </w:p>
    <w:p w14:paraId="4638CE71">
      <w:pPr>
        <w:bidi w:val="0"/>
      </w:pPr>
    </w:p>
    <w:p w14:paraId="6335D939">
      <w:pPr>
        <w:bidi w:val="0"/>
      </w:pPr>
    </w:p>
    <w:p w14:paraId="2532B837">
      <w:pPr>
        <w:bidi w:val="0"/>
      </w:pPr>
    </w:p>
    <w:p w14:paraId="016945E2">
      <w:pPr>
        <w:bidi w:val="0"/>
      </w:pPr>
    </w:p>
    <w:p w14:paraId="4B5237D1">
      <w:pPr>
        <w:bidi w:val="0"/>
      </w:pPr>
    </w:p>
    <w:p w14:paraId="61067787">
      <w:pPr>
        <w:bidi w:val="0"/>
      </w:pPr>
    </w:p>
    <w:p w14:paraId="5D6EF5BB">
      <w:pPr>
        <w:bidi w:val="0"/>
      </w:pPr>
    </w:p>
    <w:p w14:paraId="6A734793">
      <w:pPr>
        <w:bidi w:val="0"/>
      </w:pPr>
    </w:p>
    <w:p w14:paraId="05B4D665">
      <w:pPr>
        <w:bidi w:val="0"/>
      </w:pPr>
    </w:p>
    <w:p w14:paraId="52E81A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MDRhYjY2MTU5YmMzYWMwN2VmYjg2NmE3ZTExNTIifQ=="/>
  </w:docVars>
  <w:rsids>
    <w:rsidRoot w:val="00000000"/>
    <w:rsid w:val="3DC570E7"/>
    <w:rsid w:val="4C3F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2"/>
    </w:pPr>
    <w:rPr>
      <w:rFonts w:ascii="Calibri" w:hAnsi="Calibri" w:eastAsia="宋体" w:cs="宋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1523</Words>
  <Characters>1568</Characters>
  <Lines>0</Lines>
  <Paragraphs>0</Paragraphs>
  <TotalTime>0</TotalTime>
  <ScaleCrop>false</ScaleCrop>
  <LinksUpToDate>false</LinksUpToDate>
  <CharactersWithSpaces>1612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2024-07-23T01:41:00Z</dcterms:created>
  <dc:creator>Administrator</dc:creator>
  <cp:lastModifiedBy>Administrator</cp:lastModifiedBy>
  <cp:lastPrinted>2024-07-23T07:54:58Z</cp:lastPrinted>
  <dcterms:modified xsi:type="dcterms:W3CDTF">2024-07-23T07:55:50Z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4D6113E61D074CF383C2AE4561C5B783_12</vt:lpwstr>
  </property>
</Properties>
</file>