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C8E9" w14:textId="77777777" w:rsidR="00A3388E" w:rsidRPr="00D666BF" w:rsidRDefault="00A3388E" w:rsidP="00A3388E">
      <w:pPr>
        <w:spacing w:line="579" w:lineRule="exact"/>
        <w:ind w:firstLineChars="200" w:firstLine="643"/>
        <w:jc w:val="left"/>
        <w:rPr>
          <w:rFonts w:ascii="宋体" w:hAnsi="宋体" w:cs="方正仿宋_GBK"/>
          <w:b/>
          <w:bCs/>
          <w:sz w:val="32"/>
        </w:rPr>
      </w:pPr>
      <w:r w:rsidRPr="00D666BF">
        <w:rPr>
          <w:rFonts w:ascii="宋体" w:hAnsi="宋体" w:cs="方正仿宋_GBK" w:hint="eastAsia"/>
          <w:b/>
          <w:bCs/>
          <w:sz w:val="32"/>
        </w:rPr>
        <w:t>附件：</w:t>
      </w:r>
    </w:p>
    <w:p w14:paraId="3409789F" w14:textId="668EB7DF" w:rsidR="00A3388E" w:rsidRPr="00D666BF" w:rsidRDefault="003E1194" w:rsidP="00A3388E">
      <w:pPr>
        <w:pStyle w:val="1"/>
        <w:ind w:firstLineChars="0" w:firstLine="0"/>
        <w:jc w:val="center"/>
        <w:rPr>
          <w:rFonts w:ascii="宋体" w:hAnsi="宋体"/>
          <w:b/>
          <w:bCs/>
          <w:sz w:val="28"/>
          <w:szCs w:val="28"/>
        </w:rPr>
      </w:pPr>
      <w:r w:rsidRPr="003E1194">
        <w:rPr>
          <w:rFonts w:ascii="宋体" w:hAnsi="宋体" w:hint="eastAsia"/>
          <w:b/>
          <w:bCs/>
          <w:sz w:val="32"/>
          <w:szCs w:val="32"/>
        </w:rPr>
        <w:t>新会区2023年度电动汽车充电基础设施建设补贴资金申报项目</w:t>
      </w:r>
      <w:r w:rsidR="00A3388E" w:rsidRPr="00D666BF">
        <w:rPr>
          <w:rFonts w:ascii="宋体" w:hAnsi="宋体"/>
          <w:b/>
          <w:bCs/>
          <w:sz w:val="32"/>
          <w:szCs w:val="32"/>
        </w:rPr>
        <w:t>核查结论</w:t>
      </w:r>
    </w:p>
    <w:tbl>
      <w:tblPr>
        <w:tblW w:w="548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528"/>
        <w:gridCol w:w="696"/>
        <w:gridCol w:w="1656"/>
        <w:gridCol w:w="2266"/>
        <w:gridCol w:w="1810"/>
        <w:gridCol w:w="940"/>
        <w:gridCol w:w="716"/>
        <w:gridCol w:w="940"/>
        <w:gridCol w:w="713"/>
        <w:gridCol w:w="2253"/>
        <w:gridCol w:w="1139"/>
        <w:gridCol w:w="1127"/>
      </w:tblGrid>
      <w:tr w:rsidR="00A3388E" w:rsidRPr="00A3388E" w14:paraId="0BCDA3E2" w14:textId="77777777" w:rsidTr="000D6924">
        <w:trPr>
          <w:trHeight w:val="454"/>
          <w:tblHeader/>
        </w:trPr>
        <w:tc>
          <w:tcPr>
            <w:tcW w:w="171" w:type="pct"/>
            <w:vMerge w:val="restart"/>
            <w:shd w:val="clear" w:color="auto" w:fill="auto"/>
            <w:vAlign w:val="center"/>
            <w:hideMark/>
          </w:tcPr>
          <w:p w14:paraId="54E0FA8B"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序号</w:t>
            </w:r>
          </w:p>
        </w:tc>
        <w:tc>
          <w:tcPr>
            <w:tcW w:w="172" w:type="pct"/>
            <w:vMerge w:val="restart"/>
            <w:vAlign w:val="center"/>
          </w:tcPr>
          <w:p w14:paraId="55F89A8F"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hint="eastAsia"/>
                <w:b/>
                <w:bCs/>
                <w:color w:val="000000" w:themeColor="text1"/>
                <w:kern w:val="0"/>
                <w:sz w:val="24"/>
                <w:szCs w:val="24"/>
              </w:rPr>
              <w:t>区域</w:t>
            </w:r>
          </w:p>
        </w:tc>
        <w:tc>
          <w:tcPr>
            <w:tcW w:w="227" w:type="pct"/>
            <w:vMerge w:val="restart"/>
            <w:vAlign w:val="center"/>
          </w:tcPr>
          <w:p w14:paraId="3D4E47A7"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hint="eastAsia"/>
                <w:b/>
                <w:bCs/>
                <w:color w:val="000000" w:themeColor="text1"/>
                <w:kern w:val="0"/>
                <w:sz w:val="24"/>
                <w:szCs w:val="24"/>
              </w:rPr>
              <w:t>年度</w:t>
            </w:r>
          </w:p>
        </w:tc>
        <w:tc>
          <w:tcPr>
            <w:tcW w:w="541" w:type="pct"/>
            <w:vMerge w:val="restart"/>
            <w:vAlign w:val="center"/>
          </w:tcPr>
          <w:p w14:paraId="7F1F9420"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hint="eastAsia"/>
                <w:b/>
                <w:bCs/>
                <w:color w:val="000000" w:themeColor="text1"/>
                <w:kern w:val="0"/>
                <w:sz w:val="24"/>
                <w:szCs w:val="24"/>
              </w:rPr>
              <w:t>申报企业名称</w:t>
            </w:r>
          </w:p>
        </w:tc>
        <w:tc>
          <w:tcPr>
            <w:tcW w:w="740" w:type="pct"/>
            <w:vMerge w:val="restart"/>
            <w:shd w:val="clear" w:color="auto" w:fill="auto"/>
            <w:vAlign w:val="center"/>
            <w:hideMark/>
          </w:tcPr>
          <w:p w14:paraId="7982943F"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充电设施项目名称</w:t>
            </w:r>
          </w:p>
        </w:tc>
        <w:tc>
          <w:tcPr>
            <w:tcW w:w="591" w:type="pct"/>
            <w:vMerge w:val="restart"/>
            <w:shd w:val="clear" w:color="auto" w:fill="auto"/>
            <w:vAlign w:val="center"/>
            <w:hideMark/>
          </w:tcPr>
          <w:p w14:paraId="217E2236"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建设地点</w:t>
            </w:r>
          </w:p>
        </w:tc>
        <w:tc>
          <w:tcPr>
            <w:tcW w:w="541" w:type="pct"/>
            <w:gridSpan w:val="2"/>
            <w:shd w:val="clear" w:color="auto" w:fill="auto"/>
            <w:vAlign w:val="center"/>
            <w:hideMark/>
          </w:tcPr>
          <w:p w14:paraId="7EF325B0"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直流充电桩（机）</w:t>
            </w:r>
          </w:p>
        </w:tc>
        <w:tc>
          <w:tcPr>
            <w:tcW w:w="540" w:type="pct"/>
            <w:gridSpan w:val="2"/>
            <w:shd w:val="clear" w:color="auto" w:fill="auto"/>
            <w:vAlign w:val="center"/>
            <w:hideMark/>
          </w:tcPr>
          <w:p w14:paraId="50F9DA5B"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交流充电桩（机）</w:t>
            </w:r>
          </w:p>
        </w:tc>
        <w:tc>
          <w:tcPr>
            <w:tcW w:w="736" w:type="pct"/>
            <w:vMerge w:val="restart"/>
            <w:vAlign w:val="center"/>
          </w:tcPr>
          <w:p w14:paraId="1C3AB3FF" w14:textId="77777777" w:rsidR="00A3388E" w:rsidRPr="0047533E" w:rsidRDefault="00A3388E" w:rsidP="000D6924">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kern w:val="0"/>
                <w:sz w:val="24"/>
                <w:szCs w:val="24"/>
              </w:rPr>
              <w:t>核查问题点汇总</w:t>
            </w:r>
          </w:p>
        </w:tc>
        <w:tc>
          <w:tcPr>
            <w:tcW w:w="372" w:type="pct"/>
            <w:vMerge w:val="restart"/>
            <w:vAlign w:val="center"/>
          </w:tcPr>
          <w:p w14:paraId="1317F66F"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hint="eastAsia"/>
                <w:b/>
                <w:bCs/>
                <w:color w:val="000000" w:themeColor="text1"/>
                <w:kern w:val="0"/>
                <w:sz w:val="24"/>
                <w:szCs w:val="24"/>
              </w:rPr>
              <w:t>安全问题</w:t>
            </w:r>
          </w:p>
        </w:tc>
        <w:tc>
          <w:tcPr>
            <w:tcW w:w="368" w:type="pct"/>
            <w:vMerge w:val="restart"/>
            <w:vAlign w:val="center"/>
          </w:tcPr>
          <w:p w14:paraId="1955CE07"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hint="eastAsia"/>
                <w:b/>
                <w:bCs/>
                <w:color w:val="000000" w:themeColor="text1"/>
                <w:kern w:val="0"/>
                <w:sz w:val="24"/>
                <w:szCs w:val="24"/>
              </w:rPr>
              <w:t>是否推荐申报补贴</w:t>
            </w:r>
          </w:p>
        </w:tc>
      </w:tr>
      <w:tr w:rsidR="0047533E" w:rsidRPr="00A3388E" w14:paraId="7B32570F" w14:textId="77777777" w:rsidTr="000D6924">
        <w:trPr>
          <w:trHeight w:val="454"/>
        </w:trPr>
        <w:tc>
          <w:tcPr>
            <w:tcW w:w="171" w:type="pct"/>
            <w:vMerge/>
            <w:shd w:val="clear" w:color="auto" w:fill="auto"/>
            <w:vAlign w:val="center"/>
            <w:hideMark/>
          </w:tcPr>
          <w:p w14:paraId="6B14D790" w14:textId="77777777" w:rsidR="00A3388E" w:rsidRPr="00A3388E" w:rsidRDefault="00A3388E" w:rsidP="006416D3">
            <w:pPr>
              <w:widowControl/>
              <w:spacing w:line="240" w:lineRule="auto"/>
              <w:jc w:val="left"/>
              <w:rPr>
                <w:rFonts w:ascii="宋体" w:hAnsi="宋体" w:cs="Times New Roman"/>
                <w:color w:val="000000" w:themeColor="text1"/>
                <w:kern w:val="0"/>
                <w:sz w:val="24"/>
                <w:szCs w:val="24"/>
              </w:rPr>
            </w:pPr>
          </w:p>
        </w:tc>
        <w:tc>
          <w:tcPr>
            <w:tcW w:w="172" w:type="pct"/>
            <w:vMerge/>
            <w:vAlign w:val="center"/>
          </w:tcPr>
          <w:p w14:paraId="199E8D93" w14:textId="77777777" w:rsidR="00A3388E" w:rsidRPr="00A3388E" w:rsidRDefault="00A3388E" w:rsidP="006416D3">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72AA075B" w14:textId="77777777" w:rsidR="00A3388E" w:rsidRPr="00A3388E" w:rsidRDefault="00A3388E" w:rsidP="006416D3">
            <w:pPr>
              <w:widowControl/>
              <w:spacing w:line="240" w:lineRule="auto"/>
              <w:jc w:val="left"/>
              <w:rPr>
                <w:rFonts w:ascii="宋体" w:hAnsi="宋体" w:cs="Times New Roman"/>
                <w:color w:val="000000" w:themeColor="text1"/>
                <w:kern w:val="0"/>
                <w:sz w:val="24"/>
                <w:szCs w:val="24"/>
              </w:rPr>
            </w:pPr>
          </w:p>
        </w:tc>
        <w:tc>
          <w:tcPr>
            <w:tcW w:w="541" w:type="pct"/>
            <w:vMerge/>
            <w:vAlign w:val="center"/>
          </w:tcPr>
          <w:p w14:paraId="7FE92EC8" w14:textId="77777777" w:rsidR="00A3388E" w:rsidRPr="00A3388E" w:rsidRDefault="00A3388E" w:rsidP="006416D3">
            <w:pPr>
              <w:widowControl/>
              <w:spacing w:line="240" w:lineRule="auto"/>
              <w:jc w:val="left"/>
              <w:rPr>
                <w:rFonts w:ascii="宋体" w:hAnsi="宋体" w:cs="Times New Roman"/>
                <w:color w:val="000000" w:themeColor="text1"/>
                <w:kern w:val="0"/>
                <w:sz w:val="24"/>
                <w:szCs w:val="24"/>
              </w:rPr>
            </w:pPr>
          </w:p>
        </w:tc>
        <w:tc>
          <w:tcPr>
            <w:tcW w:w="740" w:type="pct"/>
            <w:vMerge/>
            <w:shd w:val="clear" w:color="auto" w:fill="auto"/>
            <w:vAlign w:val="center"/>
            <w:hideMark/>
          </w:tcPr>
          <w:p w14:paraId="2FB4B142" w14:textId="77777777" w:rsidR="00A3388E" w:rsidRPr="00A3388E" w:rsidRDefault="00A3388E" w:rsidP="006416D3">
            <w:pPr>
              <w:widowControl/>
              <w:spacing w:line="240" w:lineRule="auto"/>
              <w:jc w:val="left"/>
              <w:rPr>
                <w:rFonts w:ascii="宋体" w:hAnsi="宋体" w:cs="Times New Roman"/>
                <w:color w:val="000000" w:themeColor="text1"/>
                <w:kern w:val="0"/>
                <w:sz w:val="24"/>
                <w:szCs w:val="24"/>
              </w:rPr>
            </w:pPr>
          </w:p>
        </w:tc>
        <w:tc>
          <w:tcPr>
            <w:tcW w:w="591" w:type="pct"/>
            <w:vMerge/>
            <w:shd w:val="clear" w:color="auto" w:fill="auto"/>
            <w:vAlign w:val="center"/>
            <w:hideMark/>
          </w:tcPr>
          <w:p w14:paraId="4200FB88" w14:textId="77777777" w:rsidR="00A3388E" w:rsidRPr="00A3388E" w:rsidRDefault="00A3388E" w:rsidP="006416D3">
            <w:pPr>
              <w:widowControl/>
              <w:spacing w:line="240" w:lineRule="auto"/>
              <w:jc w:val="left"/>
              <w:rPr>
                <w:rFonts w:ascii="宋体" w:hAnsi="宋体" w:cs="Times New Roman"/>
                <w:color w:val="000000" w:themeColor="text1"/>
                <w:kern w:val="0"/>
                <w:sz w:val="24"/>
                <w:szCs w:val="24"/>
              </w:rPr>
            </w:pPr>
          </w:p>
        </w:tc>
        <w:tc>
          <w:tcPr>
            <w:tcW w:w="307" w:type="pct"/>
            <w:shd w:val="clear" w:color="auto" w:fill="auto"/>
            <w:vAlign w:val="center"/>
            <w:hideMark/>
          </w:tcPr>
          <w:p w14:paraId="3ABE5FFB"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桩（</w:t>
            </w:r>
            <w:proofErr w:type="gramStart"/>
            <w:r w:rsidRPr="0047533E">
              <w:rPr>
                <w:rFonts w:ascii="宋体" w:hAnsi="宋体" w:cs="Times New Roman"/>
                <w:b/>
                <w:bCs/>
                <w:color w:val="000000" w:themeColor="text1"/>
                <w:kern w:val="0"/>
                <w:sz w:val="24"/>
                <w:szCs w:val="24"/>
              </w:rPr>
              <w:t>个</w:t>
            </w:r>
            <w:proofErr w:type="gramEnd"/>
            <w:r w:rsidRPr="0047533E">
              <w:rPr>
                <w:rFonts w:ascii="宋体" w:hAnsi="宋体" w:cs="Times New Roman"/>
                <w:b/>
                <w:bCs/>
                <w:color w:val="000000" w:themeColor="text1"/>
                <w:kern w:val="0"/>
                <w:sz w:val="24"/>
                <w:szCs w:val="24"/>
              </w:rPr>
              <w:t>）</w:t>
            </w:r>
          </w:p>
        </w:tc>
        <w:tc>
          <w:tcPr>
            <w:tcW w:w="234" w:type="pct"/>
            <w:shd w:val="clear" w:color="auto" w:fill="auto"/>
            <w:vAlign w:val="center"/>
            <w:hideMark/>
          </w:tcPr>
          <w:p w14:paraId="3474F647"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总功率（千瓦）</w:t>
            </w:r>
          </w:p>
        </w:tc>
        <w:tc>
          <w:tcPr>
            <w:tcW w:w="307" w:type="pct"/>
            <w:shd w:val="clear" w:color="auto" w:fill="auto"/>
            <w:vAlign w:val="center"/>
            <w:hideMark/>
          </w:tcPr>
          <w:p w14:paraId="0618D052"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桩（</w:t>
            </w:r>
            <w:proofErr w:type="gramStart"/>
            <w:r w:rsidRPr="0047533E">
              <w:rPr>
                <w:rFonts w:ascii="宋体" w:hAnsi="宋体" w:cs="Times New Roman"/>
                <w:b/>
                <w:bCs/>
                <w:color w:val="000000" w:themeColor="text1"/>
                <w:kern w:val="0"/>
                <w:sz w:val="24"/>
                <w:szCs w:val="24"/>
              </w:rPr>
              <w:t>个</w:t>
            </w:r>
            <w:proofErr w:type="gramEnd"/>
            <w:r w:rsidRPr="0047533E">
              <w:rPr>
                <w:rFonts w:ascii="宋体" w:hAnsi="宋体" w:cs="Times New Roman"/>
                <w:b/>
                <w:bCs/>
                <w:color w:val="000000" w:themeColor="text1"/>
                <w:kern w:val="0"/>
                <w:sz w:val="24"/>
                <w:szCs w:val="24"/>
              </w:rPr>
              <w:t>）</w:t>
            </w:r>
          </w:p>
        </w:tc>
        <w:tc>
          <w:tcPr>
            <w:tcW w:w="233" w:type="pct"/>
            <w:shd w:val="clear" w:color="auto" w:fill="auto"/>
            <w:vAlign w:val="center"/>
            <w:hideMark/>
          </w:tcPr>
          <w:p w14:paraId="00FC9B0E" w14:textId="77777777" w:rsidR="00A3388E" w:rsidRPr="0047533E" w:rsidRDefault="00A3388E" w:rsidP="006416D3">
            <w:pPr>
              <w:widowControl/>
              <w:spacing w:line="240" w:lineRule="auto"/>
              <w:jc w:val="center"/>
              <w:rPr>
                <w:rFonts w:ascii="宋体" w:hAnsi="宋体" w:cs="Times New Roman"/>
                <w:b/>
                <w:bCs/>
                <w:color w:val="000000" w:themeColor="text1"/>
                <w:kern w:val="0"/>
                <w:sz w:val="24"/>
                <w:szCs w:val="24"/>
              </w:rPr>
            </w:pPr>
            <w:r w:rsidRPr="0047533E">
              <w:rPr>
                <w:rFonts w:ascii="宋体" w:hAnsi="宋体" w:cs="Times New Roman"/>
                <w:b/>
                <w:bCs/>
                <w:color w:val="000000" w:themeColor="text1"/>
                <w:kern w:val="0"/>
                <w:sz w:val="24"/>
                <w:szCs w:val="24"/>
              </w:rPr>
              <w:t>总功率（千瓦）</w:t>
            </w:r>
          </w:p>
        </w:tc>
        <w:tc>
          <w:tcPr>
            <w:tcW w:w="736" w:type="pct"/>
            <w:vMerge/>
            <w:vAlign w:val="center"/>
          </w:tcPr>
          <w:p w14:paraId="75D52393" w14:textId="77777777" w:rsidR="00A3388E" w:rsidRPr="00A3388E" w:rsidRDefault="00A3388E" w:rsidP="000D6924">
            <w:pPr>
              <w:widowControl/>
              <w:spacing w:line="240" w:lineRule="auto"/>
              <w:jc w:val="center"/>
              <w:rPr>
                <w:rFonts w:ascii="宋体" w:hAnsi="宋体" w:cs="Times New Roman"/>
                <w:color w:val="000000" w:themeColor="text1"/>
                <w:kern w:val="0"/>
                <w:sz w:val="24"/>
                <w:szCs w:val="24"/>
              </w:rPr>
            </w:pPr>
          </w:p>
        </w:tc>
        <w:tc>
          <w:tcPr>
            <w:tcW w:w="372" w:type="pct"/>
            <w:vMerge/>
            <w:vAlign w:val="center"/>
          </w:tcPr>
          <w:p w14:paraId="0CC2C727" w14:textId="77777777" w:rsidR="00A3388E" w:rsidRPr="00A3388E" w:rsidRDefault="00A3388E" w:rsidP="006416D3">
            <w:pPr>
              <w:widowControl/>
              <w:spacing w:line="240" w:lineRule="auto"/>
              <w:jc w:val="center"/>
              <w:rPr>
                <w:rFonts w:ascii="宋体" w:hAnsi="宋体" w:cs="Times New Roman"/>
                <w:color w:val="000000" w:themeColor="text1"/>
                <w:kern w:val="0"/>
                <w:sz w:val="24"/>
                <w:szCs w:val="24"/>
              </w:rPr>
            </w:pPr>
          </w:p>
        </w:tc>
        <w:tc>
          <w:tcPr>
            <w:tcW w:w="368" w:type="pct"/>
            <w:vMerge/>
            <w:vAlign w:val="center"/>
          </w:tcPr>
          <w:p w14:paraId="275ECEDA" w14:textId="77777777" w:rsidR="00A3388E" w:rsidRPr="00A3388E" w:rsidRDefault="00A3388E" w:rsidP="006416D3">
            <w:pPr>
              <w:widowControl/>
              <w:spacing w:line="240" w:lineRule="auto"/>
              <w:jc w:val="center"/>
              <w:rPr>
                <w:rFonts w:ascii="宋体" w:hAnsi="宋体" w:cs="Times New Roman"/>
                <w:color w:val="000000" w:themeColor="text1"/>
                <w:kern w:val="0"/>
                <w:sz w:val="24"/>
                <w:szCs w:val="24"/>
              </w:rPr>
            </w:pPr>
          </w:p>
        </w:tc>
      </w:tr>
      <w:tr w:rsidR="000D6924" w:rsidRPr="00A3388E" w14:paraId="1D9CB9CD" w14:textId="77777777" w:rsidTr="000D6924">
        <w:trPr>
          <w:trHeight w:val="454"/>
        </w:trPr>
        <w:tc>
          <w:tcPr>
            <w:tcW w:w="171" w:type="pct"/>
            <w:shd w:val="clear" w:color="auto" w:fill="auto"/>
            <w:vAlign w:val="center"/>
            <w:hideMark/>
          </w:tcPr>
          <w:p w14:paraId="5542E0CB"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w:t>
            </w:r>
          </w:p>
        </w:tc>
        <w:tc>
          <w:tcPr>
            <w:tcW w:w="172" w:type="pct"/>
            <w:vMerge w:val="restart"/>
            <w:vAlign w:val="center"/>
          </w:tcPr>
          <w:p w14:paraId="01B6BFD0" w14:textId="18FDB642" w:rsidR="000D6924" w:rsidRPr="00A3388E" w:rsidRDefault="00645E36" w:rsidP="000D6924">
            <w:pPr>
              <w:widowControl/>
              <w:spacing w:line="240" w:lineRule="auto"/>
              <w:jc w:val="left"/>
              <w:rPr>
                <w:rFonts w:ascii="宋体" w:hAnsi="宋体" w:cs="Times New Roman"/>
                <w:color w:val="000000" w:themeColor="text1"/>
                <w:kern w:val="0"/>
                <w:sz w:val="24"/>
                <w:szCs w:val="24"/>
              </w:rPr>
            </w:pPr>
            <w:r>
              <w:rPr>
                <w:rFonts w:ascii="宋体" w:hAnsi="宋体" w:cs="Times New Roman" w:hint="eastAsia"/>
                <w:color w:val="000000" w:themeColor="text1"/>
                <w:kern w:val="0"/>
                <w:sz w:val="24"/>
                <w:szCs w:val="24"/>
              </w:rPr>
              <w:t>新会区</w:t>
            </w:r>
          </w:p>
        </w:tc>
        <w:tc>
          <w:tcPr>
            <w:tcW w:w="227" w:type="pct"/>
            <w:vMerge w:val="restart"/>
            <w:vAlign w:val="center"/>
          </w:tcPr>
          <w:p w14:paraId="5AE94FE6" w14:textId="75AFC9E3" w:rsidR="000D6924" w:rsidRPr="00A3388E" w:rsidRDefault="00645E36" w:rsidP="000D6924">
            <w:pPr>
              <w:widowControl/>
              <w:spacing w:line="240" w:lineRule="auto"/>
              <w:jc w:val="left"/>
              <w:rPr>
                <w:rFonts w:ascii="宋体" w:hAnsi="宋体" w:cs="Times New Roman" w:hint="eastAsia"/>
                <w:color w:val="000000" w:themeColor="text1"/>
                <w:kern w:val="0"/>
                <w:sz w:val="24"/>
                <w:szCs w:val="24"/>
              </w:rPr>
            </w:pPr>
            <w:r>
              <w:rPr>
                <w:rFonts w:ascii="宋体" w:hAnsi="宋体" w:cs="Times New Roman" w:hint="eastAsia"/>
                <w:color w:val="000000" w:themeColor="text1"/>
                <w:kern w:val="0"/>
                <w:sz w:val="24"/>
                <w:szCs w:val="24"/>
              </w:rPr>
              <w:t>2023年</w:t>
            </w:r>
          </w:p>
        </w:tc>
        <w:tc>
          <w:tcPr>
            <w:tcW w:w="541" w:type="pct"/>
            <w:vAlign w:val="center"/>
          </w:tcPr>
          <w:p w14:paraId="43AB1362" w14:textId="15918FC0"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江门市绿箭新能源汽车有限公司</w:t>
            </w:r>
          </w:p>
        </w:tc>
        <w:tc>
          <w:tcPr>
            <w:tcW w:w="740" w:type="pct"/>
            <w:shd w:val="clear" w:color="auto" w:fill="auto"/>
            <w:vAlign w:val="center"/>
          </w:tcPr>
          <w:p w14:paraId="15136581" w14:textId="332F8E60"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新会绿箭星花园充电站</w:t>
            </w:r>
          </w:p>
        </w:tc>
        <w:tc>
          <w:tcPr>
            <w:tcW w:w="591" w:type="pct"/>
            <w:shd w:val="clear" w:color="auto" w:fill="auto"/>
            <w:vAlign w:val="center"/>
          </w:tcPr>
          <w:p w14:paraId="2429C39B" w14:textId="4275B5CB"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新会区</w:t>
            </w:r>
            <w:proofErr w:type="gramStart"/>
            <w:r w:rsidRPr="00A43D45">
              <w:rPr>
                <w:rFonts w:cs="Times New Roman"/>
                <w:color w:val="000000" w:themeColor="text1"/>
                <w:kern w:val="0"/>
                <w:sz w:val="21"/>
                <w:szCs w:val="21"/>
              </w:rPr>
              <w:t>西门路</w:t>
            </w:r>
            <w:proofErr w:type="gramEnd"/>
            <w:r w:rsidRPr="00A43D45">
              <w:rPr>
                <w:rFonts w:cs="Times New Roman"/>
                <w:color w:val="000000" w:themeColor="text1"/>
                <w:kern w:val="0"/>
                <w:sz w:val="21"/>
                <w:szCs w:val="21"/>
              </w:rPr>
              <w:t>28</w:t>
            </w:r>
            <w:r w:rsidRPr="00A43D45">
              <w:rPr>
                <w:rFonts w:cs="Times New Roman"/>
                <w:color w:val="000000" w:themeColor="text1"/>
                <w:kern w:val="0"/>
                <w:sz w:val="21"/>
                <w:szCs w:val="21"/>
              </w:rPr>
              <w:t>号</w:t>
            </w:r>
          </w:p>
        </w:tc>
        <w:tc>
          <w:tcPr>
            <w:tcW w:w="307" w:type="pct"/>
            <w:shd w:val="clear" w:color="auto" w:fill="auto"/>
            <w:vAlign w:val="center"/>
          </w:tcPr>
          <w:p w14:paraId="7141DE8F" w14:textId="4A79B32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w:t>
            </w:r>
          </w:p>
        </w:tc>
        <w:tc>
          <w:tcPr>
            <w:tcW w:w="234" w:type="pct"/>
            <w:shd w:val="clear" w:color="auto" w:fill="auto"/>
            <w:vAlign w:val="center"/>
          </w:tcPr>
          <w:p w14:paraId="0703F835" w14:textId="39DB202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720</w:t>
            </w:r>
          </w:p>
        </w:tc>
        <w:tc>
          <w:tcPr>
            <w:tcW w:w="307" w:type="pct"/>
            <w:shd w:val="clear" w:color="auto" w:fill="auto"/>
            <w:noWrap/>
            <w:vAlign w:val="center"/>
          </w:tcPr>
          <w:p w14:paraId="3E55BE3B" w14:textId="266E815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7A6FA104" w14:textId="7863DCE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1D634763" w14:textId="4C011E7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04B6539F" w14:textId="1E5DBBE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61B2A625" w14:textId="51462A13" w:rsidR="000D6924" w:rsidRPr="00A3388E" w:rsidRDefault="000D6924" w:rsidP="000D6924">
            <w:pPr>
              <w:widowControl/>
              <w:spacing w:line="240" w:lineRule="auto"/>
              <w:jc w:val="center"/>
              <w:rPr>
                <w:rFonts w:ascii="宋体" w:hAnsi="宋体" w:cs="Times New Roman" w:hint="eastAsia"/>
                <w:color w:val="000000" w:themeColor="text1"/>
                <w:kern w:val="0"/>
                <w:sz w:val="24"/>
                <w:szCs w:val="24"/>
              </w:rPr>
            </w:pPr>
            <w:r>
              <w:rPr>
                <w:rFonts w:ascii="宋体" w:hAnsi="宋体" w:cs="Times New Roman" w:hint="eastAsia"/>
                <w:color w:val="000000" w:themeColor="text1"/>
                <w:kern w:val="0"/>
                <w:sz w:val="24"/>
                <w:szCs w:val="24"/>
              </w:rPr>
              <w:t>推荐</w:t>
            </w:r>
          </w:p>
        </w:tc>
      </w:tr>
      <w:tr w:rsidR="000D6924" w:rsidRPr="00A3388E" w14:paraId="7015E996" w14:textId="77777777" w:rsidTr="000D6924">
        <w:trPr>
          <w:trHeight w:val="454"/>
        </w:trPr>
        <w:tc>
          <w:tcPr>
            <w:tcW w:w="171" w:type="pct"/>
            <w:shd w:val="clear" w:color="auto" w:fill="auto"/>
            <w:vAlign w:val="center"/>
            <w:hideMark/>
          </w:tcPr>
          <w:p w14:paraId="2090B794"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2</w:t>
            </w:r>
          </w:p>
        </w:tc>
        <w:tc>
          <w:tcPr>
            <w:tcW w:w="172" w:type="pct"/>
            <w:vMerge/>
            <w:vAlign w:val="center"/>
          </w:tcPr>
          <w:p w14:paraId="6ADF74E4"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19943DA6"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670DD5A8" w14:textId="0C4482B5"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江门市绿箭新能源汽车有限公司</w:t>
            </w:r>
          </w:p>
        </w:tc>
        <w:tc>
          <w:tcPr>
            <w:tcW w:w="740" w:type="pct"/>
            <w:shd w:val="clear" w:color="auto" w:fill="auto"/>
            <w:vAlign w:val="center"/>
          </w:tcPr>
          <w:p w14:paraId="18CA6B65" w14:textId="38CBFA13"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w:t>
            </w:r>
            <w:proofErr w:type="gramStart"/>
            <w:r w:rsidRPr="00A43D45">
              <w:rPr>
                <w:rFonts w:cs="Times New Roman"/>
                <w:color w:val="000000" w:themeColor="text1"/>
                <w:kern w:val="0"/>
                <w:sz w:val="21"/>
                <w:szCs w:val="21"/>
              </w:rPr>
              <w:t>绿箭大泽</w:t>
            </w:r>
            <w:proofErr w:type="gramEnd"/>
            <w:r w:rsidRPr="00A43D45">
              <w:rPr>
                <w:rFonts w:cs="Times New Roman"/>
                <w:color w:val="000000" w:themeColor="text1"/>
                <w:kern w:val="0"/>
                <w:sz w:val="21"/>
                <w:szCs w:val="21"/>
              </w:rPr>
              <w:t>充电站</w:t>
            </w:r>
          </w:p>
        </w:tc>
        <w:tc>
          <w:tcPr>
            <w:tcW w:w="591" w:type="pct"/>
            <w:shd w:val="clear" w:color="auto" w:fill="auto"/>
            <w:vAlign w:val="center"/>
          </w:tcPr>
          <w:p w14:paraId="2886C19B" w14:textId="04456FC4"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新会区大泽镇五和外经贸工业开发区（原江南酒店）</w:t>
            </w:r>
          </w:p>
        </w:tc>
        <w:tc>
          <w:tcPr>
            <w:tcW w:w="307" w:type="pct"/>
            <w:shd w:val="clear" w:color="auto" w:fill="auto"/>
            <w:noWrap/>
            <w:vAlign w:val="center"/>
          </w:tcPr>
          <w:p w14:paraId="54BE2ED3" w14:textId="2A1DCFD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noWrap/>
            <w:vAlign w:val="center"/>
          </w:tcPr>
          <w:p w14:paraId="1F17347D" w14:textId="54BB9A8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120</w:t>
            </w:r>
          </w:p>
        </w:tc>
        <w:tc>
          <w:tcPr>
            <w:tcW w:w="307" w:type="pct"/>
            <w:shd w:val="clear" w:color="auto" w:fill="auto"/>
            <w:noWrap/>
            <w:vAlign w:val="center"/>
          </w:tcPr>
          <w:p w14:paraId="58455F19" w14:textId="3C2375E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3" w:type="pct"/>
            <w:shd w:val="clear" w:color="auto" w:fill="auto"/>
            <w:noWrap/>
            <w:vAlign w:val="center"/>
          </w:tcPr>
          <w:p w14:paraId="785E2B0E" w14:textId="376EB80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7</w:t>
            </w:r>
          </w:p>
        </w:tc>
        <w:tc>
          <w:tcPr>
            <w:tcW w:w="736" w:type="pct"/>
            <w:vAlign w:val="center"/>
          </w:tcPr>
          <w:p w14:paraId="46F94316" w14:textId="61FB90E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638F702B" w14:textId="0CFF275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10CEFEE9" w14:textId="2131990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ascii="宋体" w:hAnsi="宋体" w:cs="Times New Roman" w:hint="eastAsia"/>
                <w:color w:val="000000" w:themeColor="text1"/>
                <w:kern w:val="0"/>
                <w:sz w:val="24"/>
                <w:szCs w:val="24"/>
              </w:rPr>
              <w:t>推荐</w:t>
            </w:r>
          </w:p>
        </w:tc>
      </w:tr>
      <w:tr w:rsidR="000D6924" w:rsidRPr="00A3388E" w14:paraId="55306997" w14:textId="77777777" w:rsidTr="000D6924">
        <w:trPr>
          <w:trHeight w:val="454"/>
        </w:trPr>
        <w:tc>
          <w:tcPr>
            <w:tcW w:w="171" w:type="pct"/>
            <w:shd w:val="clear" w:color="auto" w:fill="auto"/>
            <w:vAlign w:val="center"/>
            <w:hideMark/>
          </w:tcPr>
          <w:p w14:paraId="13AF217F"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3</w:t>
            </w:r>
          </w:p>
        </w:tc>
        <w:tc>
          <w:tcPr>
            <w:tcW w:w="172" w:type="pct"/>
            <w:vMerge/>
            <w:vAlign w:val="center"/>
          </w:tcPr>
          <w:p w14:paraId="40A4BE4F"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0B25A6E2"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3E7FD8D6" w14:textId="3B5717F2"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江门市康德新能源科技有限公司</w:t>
            </w:r>
          </w:p>
        </w:tc>
        <w:tc>
          <w:tcPr>
            <w:tcW w:w="740" w:type="pct"/>
            <w:shd w:val="clear" w:color="auto" w:fill="auto"/>
            <w:vAlign w:val="center"/>
          </w:tcPr>
          <w:p w14:paraId="49AE4E14" w14:textId="76DD62E7"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新会康宇快速充电</w:t>
            </w:r>
            <w:proofErr w:type="gramEnd"/>
            <w:r w:rsidRPr="00A43D45">
              <w:rPr>
                <w:rFonts w:cs="Times New Roman"/>
                <w:color w:val="000000" w:themeColor="text1"/>
                <w:kern w:val="0"/>
                <w:sz w:val="21"/>
                <w:szCs w:val="21"/>
              </w:rPr>
              <w:t>站</w:t>
            </w:r>
          </w:p>
        </w:tc>
        <w:tc>
          <w:tcPr>
            <w:tcW w:w="591" w:type="pct"/>
            <w:shd w:val="clear" w:color="auto" w:fill="auto"/>
            <w:vAlign w:val="center"/>
          </w:tcPr>
          <w:p w14:paraId="3EF621EB" w14:textId="26283AAB"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江门市新会区会城北安北路</w:t>
            </w:r>
            <w:r w:rsidRPr="00A43D45">
              <w:rPr>
                <w:rFonts w:cs="Times New Roman"/>
                <w:color w:val="000000" w:themeColor="text1"/>
                <w:kern w:val="0"/>
                <w:sz w:val="21"/>
                <w:szCs w:val="21"/>
              </w:rPr>
              <w:t>11</w:t>
            </w:r>
            <w:r w:rsidRPr="00A43D45">
              <w:rPr>
                <w:rFonts w:cs="Times New Roman"/>
                <w:color w:val="000000" w:themeColor="text1"/>
                <w:kern w:val="0"/>
                <w:sz w:val="21"/>
                <w:szCs w:val="21"/>
              </w:rPr>
              <w:t>号</w:t>
            </w:r>
          </w:p>
        </w:tc>
        <w:tc>
          <w:tcPr>
            <w:tcW w:w="307" w:type="pct"/>
            <w:shd w:val="clear" w:color="auto" w:fill="auto"/>
            <w:noWrap/>
            <w:vAlign w:val="center"/>
          </w:tcPr>
          <w:p w14:paraId="0380073F" w14:textId="2D966BE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5</w:t>
            </w:r>
          </w:p>
        </w:tc>
        <w:tc>
          <w:tcPr>
            <w:tcW w:w="234" w:type="pct"/>
            <w:shd w:val="clear" w:color="auto" w:fill="auto"/>
            <w:noWrap/>
            <w:vAlign w:val="center"/>
          </w:tcPr>
          <w:p w14:paraId="61A2AB51" w14:textId="7EB5B5A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400</w:t>
            </w:r>
          </w:p>
        </w:tc>
        <w:tc>
          <w:tcPr>
            <w:tcW w:w="307" w:type="pct"/>
            <w:shd w:val="clear" w:color="auto" w:fill="auto"/>
            <w:noWrap/>
            <w:vAlign w:val="center"/>
          </w:tcPr>
          <w:p w14:paraId="38931B71" w14:textId="1C06F83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w:t>
            </w:r>
          </w:p>
        </w:tc>
        <w:tc>
          <w:tcPr>
            <w:tcW w:w="233" w:type="pct"/>
            <w:shd w:val="clear" w:color="auto" w:fill="auto"/>
            <w:noWrap/>
            <w:vAlign w:val="center"/>
          </w:tcPr>
          <w:p w14:paraId="7E908FCB" w14:textId="526C944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14</w:t>
            </w:r>
          </w:p>
        </w:tc>
        <w:tc>
          <w:tcPr>
            <w:tcW w:w="736" w:type="pct"/>
            <w:vAlign w:val="center"/>
          </w:tcPr>
          <w:p w14:paraId="36E676D9" w14:textId="0AF2D28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426A3CE5" w14:textId="339465C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00AF03C6" w14:textId="1F3964D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33CA6A49" w14:textId="77777777" w:rsidTr="000D6924">
        <w:trPr>
          <w:trHeight w:val="454"/>
        </w:trPr>
        <w:tc>
          <w:tcPr>
            <w:tcW w:w="171" w:type="pct"/>
            <w:shd w:val="clear" w:color="auto" w:fill="auto"/>
            <w:vAlign w:val="center"/>
            <w:hideMark/>
          </w:tcPr>
          <w:p w14:paraId="3D4FBB92"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4</w:t>
            </w:r>
          </w:p>
        </w:tc>
        <w:tc>
          <w:tcPr>
            <w:tcW w:w="172" w:type="pct"/>
            <w:vMerge/>
            <w:vAlign w:val="center"/>
          </w:tcPr>
          <w:p w14:paraId="36DB9CB1"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2217052C"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682E3EC6" w14:textId="173E6F9D"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广东健怡投资有限公司</w:t>
            </w:r>
          </w:p>
        </w:tc>
        <w:tc>
          <w:tcPr>
            <w:tcW w:w="740" w:type="pct"/>
            <w:shd w:val="clear" w:color="auto" w:fill="auto"/>
            <w:vAlign w:val="center"/>
          </w:tcPr>
          <w:p w14:paraId="512B314F" w14:textId="705F8A9C"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kern w:val="0"/>
                <w:sz w:val="21"/>
                <w:szCs w:val="21"/>
              </w:rPr>
              <w:t>健</w:t>
            </w:r>
            <w:proofErr w:type="gramStart"/>
            <w:r w:rsidRPr="00A43D45">
              <w:rPr>
                <w:rFonts w:cs="Times New Roman"/>
                <w:kern w:val="0"/>
                <w:sz w:val="21"/>
                <w:szCs w:val="21"/>
              </w:rPr>
              <w:t>怡</w:t>
            </w:r>
            <w:proofErr w:type="gramEnd"/>
            <w:r w:rsidRPr="00A43D45">
              <w:rPr>
                <w:rFonts w:cs="Times New Roman"/>
                <w:kern w:val="0"/>
                <w:sz w:val="21"/>
                <w:szCs w:val="21"/>
              </w:rPr>
              <w:t>超级充电站（时代站）</w:t>
            </w:r>
          </w:p>
        </w:tc>
        <w:tc>
          <w:tcPr>
            <w:tcW w:w="591" w:type="pct"/>
            <w:shd w:val="clear" w:color="auto" w:fill="auto"/>
            <w:vAlign w:val="center"/>
          </w:tcPr>
          <w:p w14:paraId="010F7573" w14:textId="1C55705F"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江门市新会区会城街道冈州大道</w:t>
            </w:r>
            <w:proofErr w:type="gramStart"/>
            <w:r w:rsidRPr="00A43D45">
              <w:rPr>
                <w:rFonts w:cs="Times New Roman"/>
                <w:color w:val="000000" w:themeColor="text1"/>
                <w:kern w:val="0"/>
                <w:sz w:val="21"/>
                <w:szCs w:val="21"/>
              </w:rPr>
              <w:lastRenderedPageBreak/>
              <w:t>东时代</w:t>
            </w:r>
            <w:proofErr w:type="gramEnd"/>
            <w:r w:rsidRPr="00A43D45">
              <w:rPr>
                <w:rFonts w:cs="Times New Roman"/>
                <w:color w:val="000000" w:themeColor="text1"/>
                <w:kern w:val="0"/>
                <w:sz w:val="21"/>
                <w:szCs w:val="21"/>
              </w:rPr>
              <w:t>ITC</w:t>
            </w:r>
            <w:r w:rsidRPr="00A43D45">
              <w:rPr>
                <w:rFonts w:cs="Times New Roman"/>
                <w:color w:val="000000" w:themeColor="text1"/>
                <w:kern w:val="0"/>
                <w:sz w:val="21"/>
                <w:szCs w:val="21"/>
              </w:rPr>
              <w:t>地面停车场</w:t>
            </w:r>
          </w:p>
        </w:tc>
        <w:tc>
          <w:tcPr>
            <w:tcW w:w="307" w:type="pct"/>
            <w:shd w:val="clear" w:color="auto" w:fill="auto"/>
            <w:vAlign w:val="center"/>
          </w:tcPr>
          <w:p w14:paraId="491976C6" w14:textId="2A80E97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lastRenderedPageBreak/>
              <w:t>4</w:t>
            </w:r>
          </w:p>
        </w:tc>
        <w:tc>
          <w:tcPr>
            <w:tcW w:w="234" w:type="pct"/>
            <w:shd w:val="clear" w:color="auto" w:fill="auto"/>
            <w:vAlign w:val="center"/>
          </w:tcPr>
          <w:p w14:paraId="70EE5408" w14:textId="2E886DB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840</w:t>
            </w:r>
          </w:p>
        </w:tc>
        <w:tc>
          <w:tcPr>
            <w:tcW w:w="307" w:type="pct"/>
            <w:shd w:val="clear" w:color="auto" w:fill="auto"/>
            <w:noWrap/>
            <w:vAlign w:val="center"/>
          </w:tcPr>
          <w:p w14:paraId="021AB4DD" w14:textId="42E6D5C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559942CC" w14:textId="2CA3551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0729C9F6" w14:textId="20841C8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69359C22" w14:textId="5F11803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48B3C647" w14:textId="77DE04F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25968BE7" w14:textId="77777777" w:rsidTr="000D6924">
        <w:trPr>
          <w:trHeight w:val="454"/>
        </w:trPr>
        <w:tc>
          <w:tcPr>
            <w:tcW w:w="171" w:type="pct"/>
            <w:shd w:val="clear" w:color="auto" w:fill="auto"/>
            <w:vAlign w:val="center"/>
            <w:hideMark/>
          </w:tcPr>
          <w:p w14:paraId="775C39D9"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5</w:t>
            </w:r>
          </w:p>
        </w:tc>
        <w:tc>
          <w:tcPr>
            <w:tcW w:w="172" w:type="pct"/>
            <w:vMerge/>
            <w:vAlign w:val="center"/>
          </w:tcPr>
          <w:p w14:paraId="2824370A"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10604231"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57D8172F" w14:textId="514CA590"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广东润宇传感器</w:t>
            </w:r>
            <w:proofErr w:type="gramEnd"/>
            <w:r w:rsidRPr="00A43D45">
              <w:rPr>
                <w:rFonts w:cs="Times New Roman"/>
                <w:color w:val="000000" w:themeColor="text1"/>
                <w:kern w:val="0"/>
                <w:sz w:val="21"/>
                <w:szCs w:val="21"/>
              </w:rPr>
              <w:t>股份有限公司</w:t>
            </w:r>
          </w:p>
        </w:tc>
        <w:tc>
          <w:tcPr>
            <w:tcW w:w="740" w:type="pct"/>
            <w:shd w:val="clear" w:color="auto" w:fill="auto"/>
            <w:vAlign w:val="center"/>
          </w:tcPr>
          <w:p w14:paraId="17FE478F" w14:textId="14C49CFE"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广东润宇传感器</w:t>
            </w:r>
            <w:proofErr w:type="gramEnd"/>
            <w:r w:rsidRPr="00A43D45">
              <w:rPr>
                <w:rFonts w:cs="Times New Roman"/>
                <w:color w:val="000000" w:themeColor="text1"/>
                <w:kern w:val="0"/>
                <w:sz w:val="21"/>
                <w:szCs w:val="21"/>
              </w:rPr>
              <w:t>股份有限公司充电站</w:t>
            </w:r>
          </w:p>
        </w:tc>
        <w:tc>
          <w:tcPr>
            <w:tcW w:w="591" w:type="pct"/>
            <w:shd w:val="clear" w:color="auto" w:fill="auto"/>
            <w:vAlign w:val="center"/>
          </w:tcPr>
          <w:p w14:paraId="110BF87E" w14:textId="55C783C1"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江门市新会区会城会通路</w:t>
            </w:r>
            <w:r w:rsidRPr="00A43D45">
              <w:rPr>
                <w:rFonts w:cs="Times New Roman"/>
                <w:color w:val="000000" w:themeColor="text1"/>
                <w:kern w:val="0"/>
                <w:sz w:val="21"/>
                <w:szCs w:val="21"/>
              </w:rPr>
              <w:t>18</w:t>
            </w:r>
            <w:r w:rsidRPr="00A43D45">
              <w:rPr>
                <w:rFonts w:cs="Times New Roman"/>
                <w:color w:val="000000" w:themeColor="text1"/>
                <w:kern w:val="0"/>
                <w:sz w:val="21"/>
                <w:szCs w:val="21"/>
              </w:rPr>
              <w:t>号</w:t>
            </w:r>
          </w:p>
        </w:tc>
        <w:tc>
          <w:tcPr>
            <w:tcW w:w="307" w:type="pct"/>
            <w:shd w:val="clear" w:color="auto" w:fill="auto"/>
            <w:noWrap/>
            <w:vAlign w:val="center"/>
          </w:tcPr>
          <w:p w14:paraId="1348AE73" w14:textId="1104E0A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noWrap/>
            <w:vAlign w:val="center"/>
          </w:tcPr>
          <w:p w14:paraId="66593FDA" w14:textId="032B131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120</w:t>
            </w:r>
          </w:p>
        </w:tc>
        <w:tc>
          <w:tcPr>
            <w:tcW w:w="307" w:type="pct"/>
            <w:shd w:val="clear" w:color="auto" w:fill="auto"/>
            <w:vAlign w:val="center"/>
          </w:tcPr>
          <w:p w14:paraId="08F37261" w14:textId="26889B46"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4</w:t>
            </w:r>
          </w:p>
        </w:tc>
        <w:tc>
          <w:tcPr>
            <w:tcW w:w="233" w:type="pct"/>
            <w:shd w:val="clear" w:color="auto" w:fill="auto"/>
            <w:vAlign w:val="center"/>
          </w:tcPr>
          <w:p w14:paraId="7E77A117" w14:textId="61B9833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28</w:t>
            </w:r>
          </w:p>
        </w:tc>
        <w:tc>
          <w:tcPr>
            <w:tcW w:w="736" w:type="pct"/>
            <w:vAlign w:val="center"/>
          </w:tcPr>
          <w:p w14:paraId="4E3ED5D6" w14:textId="07472E7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5B9E5C51" w14:textId="3D6FF68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654866A4" w14:textId="1B722DF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2AC933D7" w14:textId="77777777" w:rsidTr="000D6924">
        <w:trPr>
          <w:trHeight w:val="454"/>
        </w:trPr>
        <w:tc>
          <w:tcPr>
            <w:tcW w:w="171" w:type="pct"/>
            <w:shd w:val="clear" w:color="auto" w:fill="auto"/>
            <w:vAlign w:val="center"/>
            <w:hideMark/>
          </w:tcPr>
          <w:p w14:paraId="1B81ED18"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6</w:t>
            </w:r>
          </w:p>
        </w:tc>
        <w:tc>
          <w:tcPr>
            <w:tcW w:w="172" w:type="pct"/>
            <w:vMerge/>
            <w:vAlign w:val="center"/>
          </w:tcPr>
          <w:p w14:paraId="627172D4"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354F294D"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38F0333C" w14:textId="047862C1"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江</w:t>
            </w:r>
            <w:proofErr w:type="gramStart"/>
            <w:r w:rsidRPr="00A43D45">
              <w:rPr>
                <w:rFonts w:cs="Times New Roman" w:hint="eastAsia"/>
                <w:color w:val="000000" w:themeColor="text1"/>
                <w:kern w:val="0"/>
                <w:sz w:val="21"/>
                <w:szCs w:val="21"/>
              </w:rPr>
              <w:t>门市南</w:t>
            </w:r>
            <w:proofErr w:type="gramEnd"/>
            <w:r w:rsidRPr="00A43D45">
              <w:rPr>
                <w:rFonts w:cs="Times New Roman" w:hint="eastAsia"/>
                <w:color w:val="000000" w:themeColor="text1"/>
                <w:kern w:val="0"/>
                <w:sz w:val="21"/>
                <w:szCs w:val="21"/>
              </w:rPr>
              <w:t>信物业管理有限公司</w:t>
            </w:r>
          </w:p>
        </w:tc>
        <w:tc>
          <w:tcPr>
            <w:tcW w:w="740" w:type="pct"/>
            <w:shd w:val="clear" w:color="auto" w:fill="auto"/>
            <w:vAlign w:val="center"/>
          </w:tcPr>
          <w:p w14:paraId="71EA4A7A" w14:textId="621667E4"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江门市玉湖御景酒店停车场建设新能源汽车充电设施项目</w:t>
            </w:r>
          </w:p>
        </w:tc>
        <w:tc>
          <w:tcPr>
            <w:tcW w:w="591" w:type="pct"/>
            <w:shd w:val="clear" w:color="auto" w:fill="auto"/>
            <w:vAlign w:val="center"/>
          </w:tcPr>
          <w:p w14:paraId="443827AD" w14:textId="109C7B6F"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江门市新会区会城</w:t>
            </w:r>
            <w:proofErr w:type="gramStart"/>
            <w:r w:rsidRPr="00A43D45">
              <w:rPr>
                <w:rFonts w:cs="Times New Roman"/>
                <w:color w:val="000000" w:themeColor="text1"/>
                <w:kern w:val="0"/>
                <w:sz w:val="21"/>
                <w:szCs w:val="21"/>
              </w:rPr>
              <w:t>圭</w:t>
            </w:r>
            <w:proofErr w:type="gramEnd"/>
            <w:r w:rsidRPr="00A43D45">
              <w:rPr>
                <w:rFonts w:cs="Times New Roman"/>
                <w:color w:val="000000" w:themeColor="text1"/>
                <w:kern w:val="0"/>
                <w:sz w:val="21"/>
                <w:szCs w:val="21"/>
              </w:rPr>
              <w:t>峰山月山玉湖御景酒店</w:t>
            </w:r>
          </w:p>
        </w:tc>
        <w:tc>
          <w:tcPr>
            <w:tcW w:w="307" w:type="pct"/>
            <w:shd w:val="clear" w:color="auto" w:fill="auto"/>
            <w:noWrap/>
            <w:vAlign w:val="center"/>
          </w:tcPr>
          <w:p w14:paraId="3956ED57" w14:textId="24EB4A4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17</w:t>
            </w:r>
          </w:p>
        </w:tc>
        <w:tc>
          <w:tcPr>
            <w:tcW w:w="234" w:type="pct"/>
            <w:shd w:val="clear" w:color="auto" w:fill="auto"/>
            <w:noWrap/>
            <w:vAlign w:val="center"/>
          </w:tcPr>
          <w:p w14:paraId="56DC061C" w14:textId="718CED8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1760</w:t>
            </w:r>
          </w:p>
        </w:tc>
        <w:tc>
          <w:tcPr>
            <w:tcW w:w="307" w:type="pct"/>
            <w:shd w:val="clear" w:color="auto" w:fill="auto"/>
            <w:noWrap/>
            <w:vAlign w:val="center"/>
          </w:tcPr>
          <w:p w14:paraId="51E34267" w14:textId="4680C07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16774848" w14:textId="546545A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5ACBCC5E" w14:textId="50CDCF96"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576C1979" w14:textId="0B505B6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691A234D" w14:textId="0659035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72FDE6F9" w14:textId="77777777" w:rsidTr="000D6924">
        <w:trPr>
          <w:trHeight w:val="454"/>
        </w:trPr>
        <w:tc>
          <w:tcPr>
            <w:tcW w:w="171" w:type="pct"/>
            <w:shd w:val="clear" w:color="auto" w:fill="auto"/>
            <w:vAlign w:val="center"/>
            <w:hideMark/>
          </w:tcPr>
          <w:p w14:paraId="03D6840B"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7</w:t>
            </w:r>
          </w:p>
        </w:tc>
        <w:tc>
          <w:tcPr>
            <w:tcW w:w="172" w:type="pct"/>
            <w:vMerge/>
            <w:vAlign w:val="center"/>
          </w:tcPr>
          <w:p w14:paraId="579451AB"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700DE562"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6025DFC1" w14:textId="197126A3"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江门市新会银洲湖能源有限公司</w:t>
            </w:r>
          </w:p>
        </w:tc>
        <w:tc>
          <w:tcPr>
            <w:tcW w:w="740" w:type="pct"/>
            <w:shd w:val="clear" w:color="auto" w:fill="auto"/>
            <w:vAlign w:val="center"/>
          </w:tcPr>
          <w:p w14:paraId="2805D265" w14:textId="5E38107D"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江门市新会区发展和</w:t>
            </w:r>
            <w:proofErr w:type="gramStart"/>
            <w:r w:rsidRPr="00A43D45">
              <w:rPr>
                <w:rFonts w:cs="Times New Roman"/>
                <w:color w:val="000000" w:themeColor="text1"/>
                <w:kern w:val="0"/>
                <w:sz w:val="21"/>
                <w:szCs w:val="21"/>
              </w:rPr>
              <w:t>改革局</w:t>
            </w:r>
            <w:proofErr w:type="gramEnd"/>
            <w:r w:rsidRPr="00A43D45">
              <w:rPr>
                <w:rFonts w:cs="Times New Roman"/>
                <w:color w:val="000000" w:themeColor="text1"/>
                <w:kern w:val="0"/>
                <w:sz w:val="21"/>
                <w:szCs w:val="21"/>
              </w:rPr>
              <w:t>充电站</w:t>
            </w:r>
          </w:p>
        </w:tc>
        <w:tc>
          <w:tcPr>
            <w:tcW w:w="591" w:type="pct"/>
            <w:shd w:val="clear" w:color="auto" w:fill="auto"/>
            <w:vAlign w:val="center"/>
          </w:tcPr>
          <w:p w14:paraId="02653A06" w14:textId="27DD69F9"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江门市新会区会</w:t>
            </w:r>
            <w:proofErr w:type="gramStart"/>
            <w:r w:rsidRPr="00A43D45">
              <w:rPr>
                <w:rFonts w:cs="Times New Roman"/>
                <w:color w:val="000000" w:themeColor="text1"/>
                <w:kern w:val="0"/>
                <w:sz w:val="21"/>
                <w:szCs w:val="21"/>
              </w:rPr>
              <w:t>城知政中路</w:t>
            </w:r>
            <w:proofErr w:type="gramEnd"/>
            <w:r w:rsidRPr="00A43D45">
              <w:rPr>
                <w:rFonts w:cs="Times New Roman"/>
                <w:color w:val="000000" w:themeColor="text1"/>
                <w:kern w:val="0"/>
                <w:sz w:val="21"/>
                <w:szCs w:val="21"/>
              </w:rPr>
              <w:t>12</w:t>
            </w:r>
            <w:r w:rsidRPr="00A43D45">
              <w:rPr>
                <w:rFonts w:cs="Times New Roman"/>
                <w:color w:val="000000" w:themeColor="text1"/>
                <w:kern w:val="0"/>
                <w:sz w:val="21"/>
                <w:szCs w:val="21"/>
              </w:rPr>
              <w:t>号</w:t>
            </w:r>
          </w:p>
        </w:tc>
        <w:tc>
          <w:tcPr>
            <w:tcW w:w="307" w:type="pct"/>
            <w:shd w:val="clear" w:color="auto" w:fill="auto"/>
            <w:noWrap/>
            <w:vAlign w:val="center"/>
          </w:tcPr>
          <w:p w14:paraId="006F96AE" w14:textId="4C2E64D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noWrap/>
            <w:vAlign w:val="center"/>
          </w:tcPr>
          <w:p w14:paraId="53F441EA" w14:textId="2ADEB2D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60</w:t>
            </w:r>
          </w:p>
        </w:tc>
        <w:tc>
          <w:tcPr>
            <w:tcW w:w="307" w:type="pct"/>
            <w:shd w:val="clear" w:color="auto" w:fill="auto"/>
            <w:noWrap/>
            <w:vAlign w:val="center"/>
          </w:tcPr>
          <w:p w14:paraId="5C91A164" w14:textId="3C80BBA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w:t>
            </w:r>
          </w:p>
        </w:tc>
        <w:tc>
          <w:tcPr>
            <w:tcW w:w="233" w:type="pct"/>
            <w:shd w:val="clear" w:color="auto" w:fill="auto"/>
            <w:noWrap/>
            <w:vAlign w:val="center"/>
          </w:tcPr>
          <w:p w14:paraId="59E95BEF" w14:textId="31ACAB3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14</w:t>
            </w:r>
          </w:p>
        </w:tc>
        <w:tc>
          <w:tcPr>
            <w:tcW w:w="736" w:type="pct"/>
            <w:vAlign w:val="center"/>
          </w:tcPr>
          <w:p w14:paraId="72A9F00C" w14:textId="02A1973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7C6AFBCF" w14:textId="24CF3C2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2F4B335B" w14:textId="1FE2E2F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721483C4" w14:textId="77777777" w:rsidTr="000D6924">
        <w:trPr>
          <w:trHeight w:val="454"/>
        </w:trPr>
        <w:tc>
          <w:tcPr>
            <w:tcW w:w="171" w:type="pct"/>
            <w:shd w:val="clear" w:color="auto" w:fill="auto"/>
            <w:vAlign w:val="center"/>
            <w:hideMark/>
          </w:tcPr>
          <w:p w14:paraId="1192D226"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8</w:t>
            </w:r>
          </w:p>
        </w:tc>
        <w:tc>
          <w:tcPr>
            <w:tcW w:w="172" w:type="pct"/>
            <w:vMerge/>
            <w:vAlign w:val="center"/>
          </w:tcPr>
          <w:p w14:paraId="4894C0AA"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0DB010D4"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36824B0A" w14:textId="24E3E840"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江门市新会银洲湖能源有限公司</w:t>
            </w:r>
          </w:p>
        </w:tc>
        <w:tc>
          <w:tcPr>
            <w:tcW w:w="740" w:type="pct"/>
            <w:shd w:val="clear" w:color="auto" w:fill="auto"/>
            <w:vAlign w:val="center"/>
          </w:tcPr>
          <w:p w14:paraId="3F85970C" w14:textId="743731C5"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江门市新会区美术馆充电站建设项目</w:t>
            </w:r>
          </w:p>
        </w:tc>
        <w:tc>
          <w:tcPr>
            <w:tcW w:w="591" w:type="pct"/>
            <w:shd w:val="clear" w:color="auto" w:fill="auto"/>
            <w:vAlign w:val="center"/>
          </w:tcPr>
          <w:p w14:paraId="03008E17" w14:textId="047D5B3D"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江门市新会区会城</w:t>
            </w:r>
            <w:proofErr w:type="gramStart"/>
            <w:r w:rsidRPr="00A43D45">
              <w:rPr>
                <w:rFonts w:cs="Times New Roman"/>
                <w:color w:val="000000" w:themeColor="text1"/>
                <w:kern w:val="0"/>
                <w:sz w:val="21"/>
                <w:szCs w:val="21"/>
              </w:rPr>
              <w:t>圭</w:t>
            </w:r>
            <w:proofErr w:type="gramEnd"/>
            <w:r w:rsidRPr="00A43D45">
              <w:rPr>
                <w:rFonts w:cs="Times New Roman"/>
                <w:color w:val="000000" w:themeColor="text1"/>
                <w:kern w:val="0"/>
                <w:sz w:val="21"/>
                <w:szCs w:val="21"/>
              </w:rPr>
              <w:t>峰东路南侧新会美术馆</w:t>
            </w:r>
          </w:p>
        </w:tc>
        <w:tc>
          <w:tcPr>
            <w:tcW w:w="307" w:type="pct"/>
            <w:shd w:val="clear" w:color="auto" w:fill="auto"/>
            <w:noWrap/>
            <w:vAlign w:val="center"/>
          </w:tcPr>
          <w:p w14:paraId="4757BCF4" w14:textId="483084B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w:t>
            </w:r>
          </w:p>
        </w:tc>
        <w:tc>
          <w:tcPr>
            <w:tcW w:w="234" w:type="pct"/>
            <w:shd w:val="clear" w:color="auto" w:fill="auto"/>
            <w:noWrap/>
            <w:vAlign w:val="center"/>
          </w:tcPr>
          <w:p w14:paraId="0BF8CA1E" w14:textId="08603B5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120</w:t>
            </w:r>
          </w:p>
        </w:tc>
        <w:tc>
          <w:tcPr>
            <w:tcW w:w="307" w:type="pct"/>
            <w:shd w:val="clear" w:color="auto" w:fill="auto"/>
            <w:noWrap/>
            <w:vAlign w:val="center"/>
          </w:tcPr>
          <w:p w14:paraId="626E9379" w14:textId="6ED26BA6"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w:t>
            </w:r>
          </w:p>
        </w:tc>
        <w:tc>
          <w:tcPr>
            <w:tcW w:w="233" w:type="pct"/>
            <w:shd w:val="clear" w:color="auto" w:fill="auto"/>
            <w:noWrap/>
            <w:vAlign w:val="center"/>
          </w:tcPr>
          <w:p w14:paraId="471C7A19" w14:textId="1978ABB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42</w:t>
            </w:r>
          </w:p>
        </w:tc>
        <w:tc>
          <w:tcPr>
            <w:tcW w:w="736" w:type="pct"/>
            <w:vAlign w:val="center"/>
          </w:tcPr>
          <w:p w14:paraId="49CD5F0B" w14:textId="0C32FE2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66C3F8A5" w14:textId="3D43BE2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0726AF02" w14:textId="5E2947C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62D652F8" w14:textId="77777777" w:rsidTr="000D6924">
        <w:trPr>
          <w:trHeight w:val="454"/>
        </w:trPr>
        <w:tc>
          <w:tcPr>
            <w:tcW w:w="171" w:type="pct"/>
            <w:shd w:val="clear" w:color="auto" w:fill="auto"/>
            <w:vAlign w:val="center"/>
            <w:hideMark/>
          </w:tcPr>
          <w:p w14:paraId="180FDE35"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lastRenderedPageBreak/>
              <w:t>9</w:t>
            </w:r>
          </w:p>
        </w:tc>
        <w:tc>
          <w:tcPr>
            <w:tcW w:w="172" w:type="pct"/>
            <w:vMerge/>
            <w:vAlign w:val="center"/>
          </w:tcPr>
          <w:p w14:paraId="33CC4F3A"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400831D9"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156D1A24" w14:textId="56519918"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江门市新会银洲湖能源有限公司</w:t>
            </w:r>
          </w:p>
        </w:tc>
        <w:tc>
          <w:tcPr>
            <w:tcW w:w="740" w:type="pct"/>
            <w:shd w:val="clear" w:color="auto" w:fill="auto"/>
            <w:vAlign w:val="center"/>
          </w:tcPr>
          <w:p w14:paraId="1590956C" w14:textId="5821F2A0"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新会区司前</w:t>
            </w:r>
            <w:proofErr w:type="gramEnd"/>
            <w:r w:rsidRPr="00A43D45">
              <w:rPr>
                <w:rFonts w:cs="Times New Roman"/>
                <w:color w:val="000000" w:themeColor="text1"/>
                <w:kern w:val="0"/>
                <w:sz w:val="21"/>
                <w:szCs w:val="21"/>
              </w:rPr>
              <w:t>镇影剧院充电站建设项目</w:t>
            </w:r>
          </w:p>
        </w:tc>
        <w:tc>
          <w:tcPr>
            <w:tcW w:w="591" w:type="pct"/>
            <w:shd w:val="clear" w:color="auto" w:fill="auto"/>
            <w:vAlign w:val="center"/>
          </w:tcPr>
          <w:p w14:paraId="66C10881" w14:textId="2965B832"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新会区司前</w:t>
            </w:r>
            <w:proofErr w:type="gramEnd"/>
            <w:r w:rsidRPr="00A43D45">
              <w:rPr>
                <w:rFonts w:cs="Times New Roman"/>
                <w:color w:val="000000" w:themeColor="text1"/>
                <w:kern w:val="0"/>
                <w:sz w:val="21"/>
                <w:szCs w:val="21"/>
              </w:rPr>
              <w:t>镇镇前路</w:t>
            </w:r>
            <w:r w:rsidRPr="00A43D45">
              <w:rPr>
                <w:rFonts w:cs="Times New Roman"/>
                <w:color w:val="000000" w:themeColor="text1"/>
                <w:kern w:val="0"/>
                <w:sz w:val="21"/>
                <w:szCs w:val="21"/>
              </w:rPr>
              <w:t>5-1</w:t>
            </w:r>
            <w:r w:rsidRPr="00A43D45">
              <w:rPr>
                <w:rFonts w:cs="Times New Roman"/>
                <w:color w:val="000000" w:themeColor="text1"/>
                <w:kern w:val="0"/>
                <w:sz w:val="21"/>
                <w:szCs w:val="21"/>
              </w:rPr>
              <w:t>号</w:t>
            </w:r>
          </w:p>
        </w:tc>
        <w:tc>
          <w:tcPr>
            <w:tcW w:w="307" w:type="pct"/>
            <w:shd w:val="clear" w:color="auto" w:fill="auto"/>
            <w:noWrap/>
            <w:vAlign w:val="center"/>
          </w:tcPr>
          <w:p w14:paraId="16702684" w14:textId="4560D21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w:t>
            </w:r>
          </w:p>
        </w:tc>
        <w:tc>
          <w:tcPr>
            <w:tcW w:w="234" w:type="pct"/>
            <w:shd w:val="clear" w:color="auto" w:fill="auto"/>
            <w:noWrap/>
            <w:vAlign w:val="center"/>
          </w:tcPr>
          <w:p w14:paraId="67824DC6" w14:textId="2E6990A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360</w:t>
            </w:r>
          </w:p>
        </w:tc>
        <w:tc>
          <w:tcPr>
            <w:tcW w:w="307" w:type="pct"/>
            <w:shd w:val="clear" w:color="auto" w:fill="auto"/>
            <w:noWrap/>
            <w:vAlign w:val="center"/>
          </w:tcPr>
          <w:p w14:paraId="0CEE8B23" w14:textId="22E03D8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365C67E7" w14:textId="0FA42C9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426E4EE8" w14:textId="1B4C407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1CD5E06B" w14:textId="6AE275B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540F1CF2" w14:textId="70B3DD1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483C4A4A" w14:textId="77777777" w:rsidTr="000D6924">
        <w:trPr>
          <w:trHeight w:val="454"/>
        </w:trPr>
        <w:tc>
          <w:tcPr>
            <w:tcW w:w="171" w:type="pct"/>
            <w:shd w:val="clear" w:color="auto" w:fill="auto"/>
            <w:vAlign w:val="center"/>
            <w:hideMark/>
          </w:tcPr>
          <w:p w14:paraId="5339D2E1"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10</w:t>
            </w:r>
          </w:p>
        </w:tc>
        <w:tc>
          <w:tcPr>
            <w:tcW w:w="172" w:type="pct"/>
            <w:vMerge/>
            <w:vAlign w:val="center"/>
          </w:tcPr>
          <w:p w14:paraId="6C5BD2F5"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19B8FD50"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68DAA6B9" w14:textId="136B1041"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江门市新会银洲湖能源有限公司</w:t>
            </w:r>
          </w:p>
        </w:tc>
        <w:tc>
          <w:tcPr>
            <w:tcW w:w="740" w:type="pct"/>
            <w:shd w:val="clear" w:color="auto" w:fill="auto"/>
            <w:vAlign w:val="center"/>
          </w:tcPr>
          <w:p w14:paraId="273AFE0C" w14:textId="3E58285C"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江门市新会区委员会党校充电站建设项目</w:t>
            </w:r>
          </w:p>
        </w:tc>
        <w:tc>
          <w:tcPr>
            <w:tcW w:w="591" w:type="pct"/>
            <w:shd w:val="clear" w:color="auto" w:fill="auto"/>
            <w:vAlign w:val="center"/>
          </w:tcPr>
          <w:p w14:paraId="1D30C8FC" w14:textId="5711353A"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江门市新会区会城明兴路</w:t>
            </w:r>
            <w:r w:rsidRPr="00A43D45">
              <w:rPr>
                <w:rFonts w:cs="Times New Roman"/>
                <w:color w:val="000000" w:themeColor="text1"/>
                <w:kern w:val="0"/>
                <w:sz w:val="21"/>
                <w:szCs w:val="21"/>
              </w:rPr>
              <w:t>17</w:t>
            </w:r>
            <w:r w:rsidRPr="00A43D45">
              <w:rPr>
                <w:rFonts w:cs="Times New Roman"/>
                <w:color w:val="000000" w:themeColor="text1"/>
                <w:kern w:val="0"/>
                <w:sz w:val="21"/>
                <w:szCs w:val="21"/>
              </w:rPr>
              <w:t>号停车场</w:t>
            </w:r>
          </w:p>
        </w:tc>
        <w:tc>
          <w:tcPr>
            <w:tcW w:w="307" w:type="pct"/>
            <w:shd w:val="clear" w:color="auto" w:fill="auto"/>
            <w:noWrap/>
            <w:vAlign w:val="center"/>
          </w:tcPr>
          <w:p w14:paraId="739B2EFB" w14:textId="2850906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w:t>
            </w:r>
          </w:p>
        </w:tc>
        <w:tc>
          <w:tcPr>
            <w:tcW w:w="234" w:type="pct"/>
            <w:shd w:val="clear" w:color="auto" w:fill="auto"/>
            <w:noWrap/>
            <w:vAlign w:val="center"/>
          </w:tcPr>
          <w:p w14:paraId="23663F4F" w14:textId="35C1761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240</w:t>
            </w:r>
          </w:p>
        </w:tc>
        <w:tc>
          <w:tcPr>
            <w:tcW w:w="307" w:type="pct"/>
            <w:shd w:val="clear" w:color="auto" w:fill="auto"/>
            <w:noWrap/>
            <w:vAlign w:val="center"/>
          </w:tcPr>
          <w:p w14:paraId="2497715F" w14:textId="59DB6D86"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8</w:t>
            </w:r>
          </w:p>
        </w:tc>
        <w:tc>
          <w:tcPr>
            <w:tcW w:w="233" w:type="pct"/>
            <w:shd w:val="clear" w:color="auto" w:fill="auto"/>
            <w:noWrap/>
            <w:vAlign w:val="center"/>
          </w:tcPr>
          <w:p w14:paraId="60E521C7" w14:textId="5205977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56</w:t>
            </w:r>
          </w:p>
        </w:tc>
        <w:tc>
          <w:tcPr>
            <w:tcW w:w="736" w:type="pct"/>
            <w:vAlign w:val="center"/>
          </w:tcPr>
          <w:p w14:paraId="2B3610D6" w14:textId="5750CA3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5430A819" w14:textId="0CCA08D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69ADB66C" w14:textId="3F36550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429E0A26" w14:textId="77777777" w:rsidTr="000D6924">
        <w:trPr>
          <w:trHeight w:val="454"/>
        </w:trPr>
        <w:tc>
          <w:tcPr>
            <w:tcW w:w="171" w:type="pct"/>
            <w:shd w:val="clear" w:color="auto" w:fill="auto"/>
            <w:vAlign w:val="center"/>
            <w:hideMark/>
          </w:tcPr>
          <w:p w14:paraId="4BFAD8CA"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11</w:t>
            </w:r>
          </w:p>
        </w:tc>
        <w:tc>
          <w:tcPr>
            <w:tcW w:w="172" w:type="pct"/>
            <w:vMerge/>
            <w:vAlign w:val="center"/>
          </w:tcPr>
          <w:p w14:paraId="715BAA67"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64A51645"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2C5441CA" w14:textId="0D5B3B9F"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江门市新会银洲湖能源有限公司</w:t>
            </w:r>
          </w:p>
        </w:tc>
        <w:tc>
          <w:tcPr>
            <w:tcW w:w="740" w:type="pct"/>
            <w:shd w:val="clear" w:color="auto" w:fill="auto"/>
            <w:vAlign w:val="center"/>
          </w:tcPr>
          <w:p w14:paraId="376CAB5D" w14:textId="4A33C9D0"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新会区崖门</w:t>
            </w:r>
            <w:proofErr w:type="gramEnd"/>
            <w:r w:rsidRPr="00A43D45">
              <w:rPr>
                <w:rFonts w:cs="Times New Roman"/>
                <w:color w:val="000000" w:themeColor="text1"/>
                <w:kern w:val="0"/>
                <w:sz w:val="21"/>
                <w:szCs w:val="21"/>
              </w:rPr>
              <w:t>镇人民政府充电站</w:t>
            </w:r>
          </w:p>
        </w:tc>
        <w:tc>
          <w:tcPr>
            <w:tcW w:w="591" w:type="pct"/>
            <w:shd w:val="clear" w:color="auto" w:fill="auto"/>
            <w:vAlign w:val="center"/>
          </w:tcPr>
          <w:p w14:paraId="5EF6E57A" w14:textId="3FD1FEF0"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新会区崖门</w:t>
            </w:r>
            <w:proofErr w:type="gramEnd"/>
            <w:r w:rsidRPr="00A43D45">
              <w:rPr>
                <w:rFonts w:cs="Times New Roman"/>
                <w:color w:val="000000" w:themeColor="text1"/>
                <w:kern w:val="0"/>
                <w:sz w:val="21"/>
                <w:szCs w:val="21"/>
              </w:rPr>
              <w:t>镇迎宾南路</w:t>
            </w:r>
            <w:r w:rsidRPr="00A43D45">
              <w:rPr>
                <w:rFonts w:cs="Times New Roman"/>
                <w:color w:val="000000" w:themeColor="text1"/>
                <w:kern w:val="0"/>
                <w:sz w:val="21"/>
                <w:szCs w:val="21"/>
              </w:rPr>
              <w:t>16</w:t>
            </w:r>
            <w:r w:rsidRPr="00A43D45">
              <w:rPr>
                <w:rFonts w:cs="Times New Roman"/>
                <w:color w:val="000000" w:themeColor="text1"/>
                <w:kern w:val="0"/>
                <w:sz w:val="21"/>
                <w:szCs w:val="21"/>
              </w:rPr>
              <w:t>号</w:t>
            </w:r>
          </w:p>
        </w:tc>
        <w:tc>
          <w:tcPr>
            <w:tcW w:w="307" w:type="pct"/>
            <w:shd w:val="clear" w:color="auto" w:fill="auto"/>
            <w:noWrap/>
            <w:vAlign w:val="center"/>
          </w:tcPr>
          <w:p w14:paraId="40CE593B" w14:textId="3B910F7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noWrap/>
            <w:vAlign w:val="center"/>
          </w:tcPr>
          <w:p w14:paraId="4741F317" w14:textId="470A400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60</w:t>
            </w:r>
          </w:p>
        </w:tc>
        <w:tc>
          <w:tcPr>
            <w:tcW w:w="307" w:type="pct"/>
            <w:shd w:val="clear" w:color="auto" w:fill="auto"/>
            <w:noWrap/>
            <w:vAlign w:val="center"/>
          </w:tcPr>
          <w:p w14:paraId="48179E35" w14:textId="6F46846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w:t>
            </w:r>
          </w:p>
        </w:tc>
        <w:tc>
          <w:tcPr>
            <w:tcW w:w="233" w:type="pct"/>
            <w:shd w:val="clear" w:color="auto" w:fill="auto"/>
            <w:noWrap/>
            <w:vAlign w:val="center"/>
          </w:tcPr>
          <w:p w14:paraId="4D1D43D3" w14:textId="7F51A6D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42</w:t>
            </w:r>
          </w:p>
        </w:tc>
        <w:tc>
          <w:tcPr>
            <w:tcW w:w="736" w:type="pct"/>
            <w:vAlign w:val="center"/>
          </w:tcPr>
          <w:p w14:paraId="756843D5" w14:textId="516B74A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3BFF3D69" w14:textId="3DC26F4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49E3C8E0" w14:textId="226825D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79FF623D" w14:textId="77777777" w:rsidTr="000D6924">
        <w:trPr>
          <w:trHeight w:val="454"/>
        </w:trPr>
        <w:tc>
          <w:tcPr>
            <w:tcW w:w="171" w:type="pct"/>
            <w:shd w:val="clear" w:color="auto" w:fill="auto"/>
            <w:vAlign w:val="center"/>
            <w:hideMark/>
          </w:tcPr>
          <w:p w14:paraId="43F8264D"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12</w:t>
            </w:r>
          </w:p>
        </w:tc>
        <w:tc>
          <w:tcPr>
            <w:tcW w:w="172" w:type="pct"/>
            <w:vMerge/>
            <w:vAlign w:val="center"/>
          </w:tcPr>
          <w:p w14:paraId="21E2314A"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7D89AB23"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257753F4" w14:textId="000B0A79"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江门市新会银洲湖能源有限公司</w:t>
            </w:r>
          </w:p>
        </w:tc>
        <w:tc>
          <w:tcPr>
            <w:tcW w:w="740" w:type="pct"/>
            <w:shd w:val="clear" w:color="auto" w:fill="auto"/>
            <w:vAlign w:val="center"/>
          </w:tcPr>
          <w:p w14:paraId="6DDC8364" w14:textId="762E16E0"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江门市银湖湾滨海新区海岸公园充电设施建设项目</w:t>
            </w:r>
          </w:p>
        </w:tc>
        <w:tc>
          <w:tcPr>
            <w:tcW w:w="591" w:type="pct"/>
            <w:shd w:val="clear" w:color="auto" w:fill="auto"/>
            <w:vAlign w:val="center"/>
          </w:tcPr>
          <w:p w14:paraId="3FA985AB" w14:textId="61307979"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新会区崖门</w:t>
            </w:r>
            <w:proofErr w:type="gramEnd"/>
            <w:r w:rsidRPr="00A43D45">
              <w:rPr>
                <w:rFonts w:cs="Times New Roman"/>
                <w:color w:val="000000" w:themeColor="text1"/>
                <w:kern w:val="0"/>
                <w:sz w:val="21"/>
                <w:szCs w:val="21"/>
              </w:rPr>
              <w:t>镇银湖湾湿地公园内停车场</w:t>
            </w:r>
          </w:p>
        </w:tc>
        <w:tc>
          <w:tcPr>
            <w:tcW w:w="307" w:type="pct"/>
            <w:shd w:val="clear" w:color="auto" w:fill="auto"/>
            <w:noWrap/>
            <w:vAlign w:val="center"/>
          </w:tcPr>
          <w:p w14:paraId="6579D227" w14:textId="7A7BC23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noWrap/>
            <w:vAlign w:val="center"/>
          </w:tcPr>
          <w:p w14:paraId="0D8004A1" w14:textId="78D6353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60</w:t>
            </w:r>
          </w:p>
        </w:tc>
        <w:tc>
          <w:tcPr>
            <w:tcW w:w="307" w:type="pct"/>
            <w:shd w:val="clear" w:color="auto" w:fill="auto"/>
            <w:vAlign w:val="center"/>
          </w:tcPr>
          <w:p w14:paraId="033E3B88" w14:textId="4CC416E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w:t>
            </w:r>
          </w:p>
        </w:tc>
        <w:tc>
          <w:tcPr>
            <w:tcW w:w="233" w:type="pct"/>
            <w:shd w:val="clear" w:color="auto" w:fill="auto"/>
            <w:vAlign w:val="center"/>
          </w:tcPr>
          <w:p w14:paraId="057E75E0" w14:textId="19AEB3D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14</w:t>
            </w:r>
          </w:p>
        </w:tc>
        <w:tc>
          <w:tcPr>
            <w:tcW w:w="736" w:type="pct"/>
            <w:vAlign w:val="center"/>
          </w:tcPr>
          <w:p w14:paraId="4FB6B0C2" w14:textId="22669E1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2EA7E562" w14:textId="6734000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7A17B172" w14:textId="1080631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5A8E397C" w14:textId="77777777" w:rsidTr="000D6924">
        <w:trPr>
          <w:trHeight w:val="454"/>
        </w:trPr>
        <w:tc>
          <w:tcPr>
            <w:tcW w:w="171" w:type="pct"/>
            <w:shd w:val="clear" w:color="auto" w:fill="auto"/>
            <w:vAlign w:val="center"/>
            <w:hideMark/>
          </w:tcPr>
          <w:p w14:paraId="5568B9DE"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13</w:t>
            </w:r>
          </w:p>
        </w:tc>
        <w:tc>
          <w:tcPr>
            <w:tcW w:w="172" w:type="pct"/>
            <w:vMerge/>
            <w:vAlign w:val="center"/>
          </w:tcPr>
          <w:p w14:paraId="2DAF4F4B"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3981BB53"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40FC3924" w14:textId="429D70EA"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江门市新会银洲湖能源有限公司</w:t>
            </w:r>
          </w:p>
        </w:tc>
        <w:tc>
          <w:tcPr>
            <w:tcW w:w="740" w:type="pct"/>
            <w:shd w:val="clear" w:color="auto" w:fill="auto"/>
            <w:vAlign w:val="center"/>
          </w:tcPr>
          <w:p w14:paraId="2728F9B0" w14:textId="1BB0F897"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枢纽新城体育运动广场充电站项目</w:t>
            </w:r>
          </w:p>
        </w:tc>
        <w:tc>
          <w:tcPr>
            <w:tcW w:w="591" w:type="pct"/>
            <w:shd w:val="clear" w:color="auto" w:fill="auto"/>
            <w:vAlign w:val="center"/>
          </w:tcPr>
          <w:p w14:paraId="69FFA615" w14:textId="6F3D8654"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广东省江门市新会区会城枢纽新</w:t>
            </w:r>
            <w:r w:rsidRPr="00A43D45">
              <w:rPr>
                <w:rFonts w:cs="Times New Roman"/>
                <w:color w:val="000000" w:themeColor="text1"/>
                <w:kern w:val="0"/>
                <w:sz w:val="21"/>
                <w:szCs w:val="21"/>
              </w:rPr>
              <w:lastRenderedPageBreak/>
              <w:t>城体育运动广场停车场</w:t>
            </w:r>
          </w:p>
        </w:tc>
        <w:tc>
          <w:tcPr>
            <w:tcW w:w="307" w:type="pct"/>
            <w:shd w:val="clear" w:color="auto" w:fill="auto"/>
            <w:noWrap/>
            <w:vAlign w:val="center"/>
          </w:tcPr>
          <w:p w14:paraId="0F9368F8" w14:textId="5E3633D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lastRenderedPageBreak/>
              <w:t>1</w:t>
            </w:r>
          </w:p>
        </w:tc>
        <w:tc>
          <w:tcPr>
            <w:tcW w:w="234" w:type="pct"/>
            <w:shd w:val="clear" w:color="auto" w:fill="auto"/>
            <w:noWrap/>
            <w:vAlign w:val="center"/>
          </w:tcPr>
          <w:p w14:paraId="252EB6CE" w14:textId="606FBF2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320</w:t>
            </w:r>
          </w:p>
        </w:tc>
        <w:tc>
          <w:tcPr>
            <w:tcW w:w="307" w:type="pct"/>
            <w:shd w:val="clear" w:color="auto" w:fill="auto"/>
            <w:noWrap/>
            <w:vAlign w:val="center"/>
          </w:tcPr>
          <w:p w14:paraId="0C27C5F8" w14:textId="3A054BA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6CE2795B" w14:textId="7833411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32445164" w14:textId="55CB51B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01F34AD0" w14:textId="50F336A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6D89CD19" w14:textId="2866A68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44D72439" w14:textId="77777777" w:rsidTr="000D6924">
        <w:trPr>
          <w:trHeight w:val="454"/>
        </w:trPr>
        <w:tc>
          <w:tcPr>
            <w:tcW w:w="171" w:type="pct"/>
            <w:shd w:val="clear" w:color="auto" w:fill="auto"/>
            <w:vAlign w:val="center"/>
            <w:hideMark/>
          </w:tcPr>
          <w:p w14:paraId="1D402F21"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14</w:t>
            </w:r>
          </w:p>
        </w:tc>
        <w:tc>
          <w:tcPr>
            <w:tcW w:w="172" w:type="pct"/>
            <w:vMerge/>
            <w:vAlign w:val="center"/>
          </w:tcPr>
          <w:p w14:paraId="425CB9BD"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7A4E5CB3"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2B474573" w14:textId="2D019A40"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叻驿</w:t>
            </w:r>
            <w:proofErr w:type="gramEnd"/>
            <w:r w:rsidRPr="00A43D45">
              <w:rPr>
                <w:rFonts w:cs="Times New Roman"/>
                <w:color w:val="000000" w:themeColor="text1"/>
                <w:kern w:val="0"/>
                <w:sz w:val="21"/>
                <w:szCs w:val="21"/>
              </w:rPr>
              <w:t>充新能源设施运营管理</w:t>
            </w:r>
            <w:r w:rsidRPr="00A43D45">
              <w:rPr>
                <w:rFonts w:cs="Times New Roman"/>
                <w:color w:val="000000" w:themeColor="text1"/>
                <w:kern w:val="0"/>
                <w:sz w:val="21"/>
                <w:szCs w:val="21"/>
              </w:rPr>
              <w:t>(</w:t>
            </w:r>
            <w:r w:rsidRPr="00A43D45">
              <w:rPr>
                <w:rFonts w:cs="Times New Roman"/>
                <w:color w:val="000000" w:themeColor="text1"/>
                <w:kern w:val="0"/>
                <w:sz w:val="21"/>
                <w:szCs w:val="21"/>
              </w:rPr>
              <w:t>广东</w:t>
            </w:r>
            <w:r w:rsidRPr="00A43D45">
              <w:rPr>
                <w:rFonts w:cs="Times New Roman"/>
                <w:color w:val="000000" w:themeColor="text1"/>
                <w:kern w:val="0"/>
                <w:sz w:val="21"/>
                <w:szCs w:val="21"/>
              </w:rPr>
              <w:t>)</w:t>
            </w:r>
            <w:r w:rsidRPr="00A43D45">
              <w:rPr>
                <w:rFonts w:cs="Times New Roman"/>
                <w:color w:val="000000" w:themeColor="text1"/>
                <w:kern w:val="0"/>
                <w:sz w:val="21"/>
                <w:szCs w:val="21"/>
              </w:rPr>
              <w:t>有限公司</w:t>
            </w:r>
          </w:p>
        </w:tc>
        <w:tc>
          <w:tcPr>
            <w:tcW w:w="740" w:type="pct"/>
            <w:shd w:val="clear" w:color="auto" w:fill="auto"/>
            <w:vAlign w:val="center"/>
          </w:tcPr>
          <w:p w14:paraId="68402185" w14:textId="26573DAD"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玉州村委会</w:t>
            </w:r>
            <w:proofErr w:type="gramEnd"/>
            <w:r w:rsidRPr="00A43D45">
              <w:rPr>
                <w:rFonts w:cs="Times New Roman"/>
                <w:color w:val="000000" w:themeColor="text1"/>
                <w:kern w:val="0"/>
                <w:sz w:val="21"/>
                <w:szCs w:val="21"/>
              </w:rPr>
              <w:t>站</w:t>
            </w:r>
          </w:p>
        </w:tc>
        <w:tc>
          <w:tcPr>
            <w:tcW w:w="591" w:type="pct"/>
            <w:shd w:val="clear" w:color="auto" w:fill="auto"/>
            <w:vAlign w:val="center"/>
          </w:tcPr>
          <w:p w14:paraId="7F52D5DC" w14:textId="7BE5E4BE"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广东省江门市新会区古井镇中共玉洲村总支部委员会玉洲村党群服务中心</w:t>
            </w:r>
          </w:p>
        </w:tc>
        <w:tc>
          <w:tcPr>
            <w:tcW w:w="307" w:type="pct"/>
            <w:shd w:val="clear" w:color="auto" w:fill="auto"/>
            <w:noWrap/>
            <w:vAlign w:val="center"/>
          </w:tcPr>
          <w:p w14:paraId="27E3645D" w14:textId="61560FB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4" w:type="pct"/>
            <w:shd w:val="clear" w:color="auto" w:fill="auto"/>
            <w:noWrap/>
            <w:vAlign w:val="center"/>
          </w:tcPr>
          <w:p w14:paraId="598E1EF9" w14:textId="3DA6989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307" w:type="pct"/>
            <w:shd w:val="clear" w:color="auto" w:fill="auto"/>
            <w:noWrap/>
            <w:vAlign w:val="center"/>
          </w:tcPr>
          <w:p w14:paraId="3C471278" w14:textId="3B394F1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3" w:type="pct"/>
            <w:shd w:val="clear" w:color="auto" w:fill="auto"/>
            <w:noWrap/>
            <w:vAlign w:val="center"/>
          </w:tcPr>
          <w:p w14:paraId="0D9C6189" w14:textId="209B3A6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7</w:t>
            </w:r>
          </w:p>
        </w:tc>
        <w:tc>
          <w:tcPr>
            <w:tcW w:w="736" w:type="pct"/>
            <w:vAlign w:val="center"/>
          </w:tcPr>
          <w:p w14:paraId="7409A068" w14:textId="77777777" w:rsidR="000D6924" w:rsidRPr="00A1630F" w:rsidRDefault="000D6924" w:rsidP="000D6924">
            <w:pPr>
              <w:widowControl/>
              <w:spacing w:line="240" w:lineRule="auto"/>
              <w:jc w:val="center"/>
              <w:rPr>
                <w:rFonts w:cs="Times New Roman"/>
                <w:color w:val="000000"/>
                <w:kern w:val="0"/>
                <w:sz w:val="21"/>
                <w:szCs w:val="21"/>
              </w:rPr>
            </w:pPr>
            <w:r w:rsidRPr="00A1630F">
              <w:rPr>
                <w:rFonts w:cs="Times New Roman" w:hint="eastAsia"/>
                <w:color w:val="000000"/>
                <w:kern w:val="0"/>
                <w:sz w:val="21"/>
                <w:szCs w:val="21"/>
              </w:rPr>
              <w:t>1</w:t>
            </w:r>
            <w:r w:rsidRPr="00A1630F">
              <w:rPr>
                <w:rFonts w:cs="Times New Roman" w:hint="eastAsia"/>
                <w:color w:val="000000"/>
                <w:kern w:val="0"/>
                <w:sz w:val="21"/>
                <w:szCs w:val="21"/>
              </w:rPr>
              <w:t>、无项目验收报告；</w:t>
            </w:r>
          </w:p>
          <w:p w14:paraId="669502F6" w14:textId="305B9CF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1630F">
              <w:rPr>
                <w:rFonts w:cs="Times New Roman" w:hint="eastAsia"/>
                <w:color w:val="000000"/>
                <w:kern w:val="0"/>
                <w:sz w:val="21"/>
                <w:szCs w:val="21"/>
              </w:rPr>
              <w:t>2</w:t>
            </w:r>
            <w:r w:rsidRPr="00A1630F">
              <w:rPr>
                <w:rFonts w:cs="Times New Roman" w:hint="eastAsia"/>
                <w:color w:val="000000"/>
                <w:kern w:val="0"/>
                <w:sz w:val="21"/>
                <w:szCs w:val="21"/>
              </w:rPr>
              <w:t>、现场无监控</w:t>
            </w:r>
          </w:p>
        </w:tc>
        <w:tc>
          <w:tcPr>
            <w:tcW w:w="372" w:type="pct"/>
            <w:vAlign w:val="center"/>
          </w:tcPr>
          <w:p w14:paraId="7D9F9671" w14:textId="1949F00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1630F">
              <w:rPr>
                <w:rFonts w:cs="Times New Roman" w:hint="eastAsia"/>
                <w:color w:val="000000"/>
                <w:kern w:val="0"/>
                <w:sz w:val="21"/>
                <w:szCs w:val="21"/>
              </w:rPr>
              <w:t>现场无监控</w:t>
            </w:r>
          </w:p>
        </w:tc>
        <w:tc>
          <w:tcPr>
            <w:tcW w:w="368" w:type="pct"/>
            <w:vAlign w:val="center"/>
          </w:tcPr>
          <w:p w14:paraId="6E5B6FA6" w14:textId="3A0FCF5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ascii="宋体" w:hAnsi="宋体" w:cs="Times New Roman" w:hint="eastAsia"/>
                <w:color w:val="000000" w:themeColor="text1"/>
                <w:kern w:val="0"/>
                <w:sz w:val="24"/>
                <w:szCs w:val="24"/>
              </w:rPr>
              <w:t>不</w:t>
            </w:r>
            <w:r w:rsidRPr="00735788">
              <w:rPr>
                <w:rFonts w:ascii="宋体" w:hAnsi="宋体" w:cs="Times New Roman" w:hint="eastAsia"/>
                <w:color w:val="000000" w:themeColor="text1"/>
                <w:kern w:val="0"/>
                <w:sz w:val="24"/>
                <w:szCs w:val="24"/>
              </w:rPr>
              <w:t>推荐</w:t>
            </w:r>
          </w:p>
        </w:tc>
      </w:tr>
      <w:tr w:rsidR="000D6924" w:rsidRPr="00A3388E" w14:paraId="0B115020" w14:textId="77777777" w:rsidTr="000D6924">
        <w:trPr>
          <w:trHeight w:val="454"/>
        </w:trPr>
        <w:tc>
          <w:tcPr>
            <w:tcW w:w="171" w:type="pct"/>
            <w:shd w:val="clear" w:color="auto" w:fill="auto"/>
            <w:vAlign w:val="center"/>
            <w:hideMark/>
          </w:tcPr>
          <w:p w14:paraId="0C956E5C"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15</w:t>
            </w:r>
          </w:p>
        </w:tc>
        <w:tc>
          <w:tcPr>
            <w:tcW w:w="172" w:type="pct"/>
            <w:vMerge/>
            <w:vAlign w:val="center"/>
          </w:tcPr>
          <w:p w14:paraId="5BB7761E"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283B4DAB"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061F5AC3" w14:textId="3187572D"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叻驿</w:t>
            </w:r>
            <w:proofErr w:type="gramEnd"/>
            <w:r w:rsidRPr="00A43D45">
              <w:rPr>
                <w:rFonts w:cs="Times New Roman"/>
                <w:color w:val="000000" w:themeColor="text1"/>
                <w:kern w:val="0"/>
                <w:sz w:val="21"/>
                <w:szCs w:val="21"/>
              </w:rPr>
              <w:t>充新能源设施运营管理</w:t>
            </w:r>
            <w:r w:rsidRPr="00A43D45">
              <w:rPr>
                <w:rFonts w:cs="Times New Roman"/>
                <w:color w:val="000000" w:themeColor="text1"/>
                <w:kern w:val="0"/>
                <w:sz w:val="21"/>
                <w:szCs w:val="21"/>
              </w:rPr>
              <w:t>(</w:t>
            </w:r>
            <w:r w:rsidRPr="00A43D45">
              <w:rPr>
                <w:rFonts w:cs="Times New Roman"/>
                <w:color w:val="000000" w:themeColor="text1"/>
                <w:kern w:val="0"/>
                <w:sz w:val="21"/>
                <w:szCs w:val="21"/>
              </w:rPr>
              <w:t>广东</w:t>
            </w:r>
            <w:r w:rsidRPr="00A43D45">
              <w:rPr>
                <w:rFonts w:cs="Times New Roman"/>
                <w:color w:val="000000" w:themeColor="text1"/>
                <w:kern w:val="0"/>
                <w:sz w:val="21"/>
                <w:szCs w:val="21"/>
              </w:rPr>
              <w:t>)</w:t>
            </w:r>
            <w:r w:rsidRPr="00A43D45">
              <w:rPr>
                <w:rFonts w:cs="Times New Roman"/>
                <w:color w:val="000000" w:themeColor="text1"/>
                <w:kern w:val="0"/>
                <w:sz w:val="21"/>
                <w:szCs w:val="21"/>
              </w:rPr>
              <w:t>有限公司</w:t>
            </w:r>
          </w:p>
        </w:tc>
        <w:tc>
          <w:tcPr>
            <w:tcW w:w="740" w:type="pct"/>
            <w:shd w:val="clear" w:color="auto" w:fill="auto"/>
            <w:vAlign w:val="center"/>
          </w:tcPr>
          <w:p w14:paraId="7BE9A2CF" w14:textId="3D85577E"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玉州村</w:t>
            </w:r>
            <w:proofErr w:type="gramEnd"/>
            <w:r w:rsidRPr="00A43D45">
              <w:rPr>
                <w:rFonts w:cs="Times New Roman"/>
                <w:color w:val="000000" w:themeColor="text1"/>
                <w:kern w:val="0"/>
                <w:sz w:val="21"/>
                <w:szCs w:val="21"/>
              </w:rPr>
              <w:t>卫生站点</w:t>
            </w:r>
          </w:p>
        </w:tc>
        <w:tc>
          <w:tcPr>
            <w:tcW w:w="591" w:type="pct"/>
            <w:shd w:val="clear" w:color="auto" w:fill="auto"/>
            <w:vAlign w:val="center"/>
          </w:tcPr>
          <w:p w14:paraId="4D17D356" w14:textId="3F7A4A06"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广东省江门市新会区古井镇</w:t>
            </w:r>
            <w:r w:rsidRPr="00A43D45">
              <w:rPr>
                <w:rFonts w:cs="Times New Roman"/>
                <w:color w:val="000000" w:themeColor="text1"/>
                <w:kern w:val="0"/>
                <w:sz w:val="21"/>
                <w:szCs w:val="21"/>
              </w:rPr>
              <w:t>225</w:t>
            </w:r>
            <w:r w:rsidRPr="00A43D45">
              <w:rPr>
                <w:rFonts w:cs="Times New Roman"/>
                <w:color w:val="000000" w:themeColor="text1"/>
                <w:kern w:val="0"/>
                <w:sz w:val="21"/>
                <w:szCs w:val="21"/>
              </w:rPr>
              <w:t>乡道</w:t>
            </w:r>
          </w:p>
        </w:tc>
        <w:tc>
          <w:tcPr>
            <w:tcW w:w="307" w:type="pct"/>
            <w:shd w:val="clear" w:color="auto" w:fill="auto"/>
            <w:noWrap/>
            <w:vAlign w:val="center"/>
          </w:tcPr>
          <w:p w14:paraId="26137910" w14:textId="7E1D867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4" w:type="pct"/>
            <w:shd w:val="clear" w:color="auto" w:fill="auto"/>
            <w:noWrap/>
            <w:vAlign w:val="center"/>
          </w:tcPr>
          <w:p w14:paraId="54182717" w14:textId="4DBBA04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307" w:type="pct"/>
            <w:shd w:val="clear" w:color="auto" w:fill="auto"/>
            <w:noWrap/>
            <w:vAlign w:val="center"/>
          </w:tcPr>
          <w:p w14:paraId="3DA073C0" w14:textId="31FF933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3" w:type="pct"/>
            <w:shd w:val="clear" w:color="auto" w:fill="auto"/>
            <w:noWrap/>
            <w:vAlign w:val="center"/>
          </w:tcPr>
          <w:p w14:paraId="4F8550C9" w14:textId="34BE6D6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7</w:t>
            </w:r>
          </w:p>
        </w:tc>
        <w:tc>
          <w:tcPr>
            <w:tcW w:w="736" w:type="pct"/>
            <w:vAlign w:val="center"/>
          </w:tcPr>
          <w:p w14:paraId="45A1417D" w14:textId="77777777" w:rsidR="000D6924" w:rsidRPr="00A1630F" w:rsidRDefault="000D6924" w:rsidP="000D6924">
            <w:pPr>
              <w:widowControl/>
              <w:spacing w:line="240" w:lineRule="auto"/>
              <w:jc w:val="center"/>
              <w:rPr>
                <w:rFonts w:cs="Times New Roman"/>
                <w:color w:val="000000"/>
                <w:kern w:val="0"/>
                <w:sz w:val="21"/>
                <w:szCs w:val="21"/>
              </w:rPr>
            </w:pPr>
            <w:r w:rsidRPr="00A1630F">
              <w:rPr>
                <w:rFonts w:cs="Times New Roman" w:hint="eastAsia"/>
                <w:color w:val="000000"/>
                <w:kern w:val="0"/>
                <w:sz w:val="21"/>
                <w:szCs w:val="21"/>
              </w:rPr>
              <w:t>1</w:t>
            </w:r>
            <w:r w:rsidRPr="00A1630F">
              <w:rPr>
                <w:rFonts w:cs="Times New Roman" w:hint="eastAsia"/>
                <w:color w:val="000000"/>
                <w:kern w:val="0"/>
                <w:sz w:val="21"/>
                <w:szCs w:val="21"/>
              </w:rPr>
              <w:t>、无项目验收报告；</w:t>
            </w:r>
          </w:p>
          <w:p w14:paraId="7EA4098A" w14:textId="565A341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1630F">
              <w:rPr>
                <w:rFonts w:cs="Times New Roman" w:hint="eastAsia"/>
                <w:color w:val="000000"/>
                <w:kern w:val="0"/>
                <w:sz w:val="21"/>
                <w:szCs w:val="21"/>
              </w:rPr>
              <w:t>2</w:t>
            </w:r>
            <w:r w:rsidRPr="00A1630F">
              <w:rPr>
                <w:rFonts w:cs="Times New Roman" w:hint="eastAsia"/>
                <w:color w:val="000000"/>
                <w:kern w:val="0"/>
                <w:sz w:val="21"/>
                <w:szCs w:val="21"/>
              </w:rPr>
              <w:t>、现场无监控</w:t>
            </w:r>
          </w:p>
        </w:tc>
        <w:tc>
          <w:tcPr>
            <w:tcW w:w="372" w:type="pct"/>
            <w:vAlign w:val="center"/>
          </w:tcPr>
          <w:p w14:paraId="760F0098" w14:textId="1447CA8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1630F">
              <w:rPr>
                <w:rFonts w:cs="Times New Roman" w:hint="eastAsia"/>
                <w:color w:val="000000"/>
                <w:kern w:val="0"/>
                <w:sz w:val="21"/>
                <w:szCs w:val="21"/>
              </w:rPr>
              <w:t>现场无监控</w:t>
            </w:r>
          </w:p>
        </w:tc>
        <w:tc>
          <w:tcPr>
            <w:tcW w:w="368" w:type="pct"/>
            <w:vAlign w:val="center"/>
          </w:tcPr>
          <w:p w14:paraId="3896C506" w14:textId="0B92C98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ascii="宋体" w:hAnsi="宋体" w:cs="Times New Roman" w:hint="eastAsia"/>
                <w:color w:val="000000" w:themeColor="text1"/>
                <w:kern w:val="0"/>
                <w:sz w:val="24"/>
                <w:szCs w:val="24"/>
              </w:rPr>
              <w:t>不</w:t>
            </w:r>
            <w:r w:rsidRPr="00735788">
              <w:rPr>
                <w:rFonts w:ascii="宋体" w:hAnsi="宋体" w:cs="Times New Roman" w:hint="eastAsia"/>
                <w:color w:val="000000" w:themeColor="text1"/>
                <w:kern w:val="0"/>
                <w:sz w:val="24"/>
                <w:szCs w:val="24"/>
              </w:rPr>
              <w:t>推荐</w:t>
            </w:r>
          </w:p>
        </w:tc>
      </w:tr>
      <w:tr w:rsidR="000D6924" w:rsidRPr="00A3388E" w14:paraId="355A232E" w14:textId="77777777" w:rsidTr="000D6924">
        <w:trPr>
          <w:trHeight w:val="454"/>
        </w:trPr>
        <w:tc>
          <w:tcPr>
            <w:tcW w:w="171" w:type="pct"/>
            <w:shd w:val="clear" w:color="auto" w:fill="auto"/>
            <w:vAlign w:val="center"/>
            <w:hideMark/>
          </w:tcPr>
          <w:p w14:paraId="323B800B"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16</w:t>
            </w:r>
          </w:p>
        </w:tc>
        <w:tc>
          <w:tcPr>
            <w:tcW w:w="172" w:type="pct"/>
            <w:vMerge/>
            <w:vAlign w:val="center"/>
          </w:tcPr>
          <w:p w14:paraId="2FABE41D"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705AF643"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6CA65E59" w14:textId="30282F97"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佛山</w:t>
            </w:r>
            <w:proofErr w:type="gramStart"/>
            <w:r w:rsidRPr="00A43D45">
              <w:rPr>
                <w:rFonts w:cs="Times New Roman"/>
                <w:color w:val="000000" w:themeColor="text1"/>
                <w:kern w:val="0"/>
                <w:sz w:val="21"/>
                <w:szCs w:val="21"/>
              </w:rPr>
              <w:t>市秒电新能源</w:t>
            </w:r>
            <w:proofErr w:type="gramEnd"/>
            <w:r w:rsidRPr="00A43D45">
              <w:rPr>
                <w:rFonts w:cs="Times New Roman"/>
                <w:color w:val="000000" w:themeColor="text1"/>
                <w:kern w:val="0"/>
                <w:sz w:val="21"/>
                <w:szCs w:val="21"/>
              </w:rPr>
              <w:t>科技有限公司</w:t>
            </w:r>
          </w:p>
        </w:tc>
        <w:tc>
          <w:tcPr>
            <w:tcW w:w="740" w:type="pct"/>
            <w:shd w:val="clear" w:color="auto" w:fill="auto"/>
            <w:vAlign w:val="center"/>
          </w:tcPr>
          <w:p w14:paraId="457E7FD5" w14:textId="5176AC6F"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秒电充电站</w:t>
            </w:r>
            <w:proofErr w:type="gramEnd"/>
            <w:r w:rsidRPr="00A43D45">
              <w:rPr>
                <w:rFonts w:cs="Times New Roman"/>
                <w:color w:val="000000" w:themeColor="text1"/>
                <w:kern w:val="0"/>
                <w:sz w:val="21"/>
                <w:szCs w:val="21"/>
              </w:rPr>
              <w:t>（</w:t>
            </w:r>
            <w:proofErr w:type="gramStart"/>
            <w:r w:rsidRPr="00A43D45">
              <w:rPr>
                <w:rFonts w:cs="Times New Roman"/>
                <w:color w:val="000000" w:themeColor="text1"/>
                <w:kern w:val="0"/>
                <w:sz w:val="21"/>
                <w:szCs w:val="21"/>
              </w:rPr>
              <w:t>址山高速</w:t>
            </w:r>
            <w:proofErr w:type="gramEnd"/>
            <w:r w:rsidRPr="00A43D45">
              <w:rPr>
                <w:rFonts w:cs="Times New Roman"/>
                <w:color w:val="000000" w:themeColor="text1"/>
                <w:kern w:val="0"/>
                <w:sz w:val="21"/>
                <w:szCs w:val="21"/>
              </w:rPr>
              <w:t>口站）</w:t>
            </w:r>
          </w:p>
        </w:tc>
        <w:tc>
          <w:tcPr>
            <w:tcW w:w="591" w:type="pct"/>
            <w:shd w:val="clear" w:color="auto" w:fill="auto"/>
            <w:vAlign w:val="center"/>
          </w:tcPr>
          <w:p w14:paraId="20FADFD4" w14:textId="50C1F983"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新会区司前</w:t>
            </w:r>
            <w:proofErr w:type="gramEnd"/>
            <w:r w:rsidRPr="00A43D45">
              <w:rPr>
                <w:rFonts w:cs="Times New Roman"/>
                <w:color w:val="000000" w:themeColor="text1"/>
                <w:kern w:val="0"/>
                <w:sz w:val="21"/>
                <w:szCs w:val="21"/>
              </w:rPr>
              <w:t>镇</w:t>
            </w:r>
            <w:proofErr w:type="gramStart"/>
            <w:r w:rsidRPr="00A43D45">
              <w:rPr>
                <w:rFonts w:cs="Times New Roman"/>
                <w:color w:val="000000" w:themeColor="text1"/>
                <w:kern w:val="0"/>
                <w:sz w:val="21"/>
                <w:szCs w:val="21"/>
              </w:rPr>
              <w:t>古猛村</w:t>
            </w:r>
            <w:proofErr w:type="gramEnd"/>
            <w:r w:rsidRPr="00A43D45">
              <w:rPr>
                <w:rFonts w:cs="Times New Roman"/>
                <w:color w:val="000000" w:themeColor="text1"/>
                <w:kern w:val="0"/>
                <w:sz w:val="21"/>
                <w:szCs w:val="21"/>
              </w:rPr>
              <w:t>325</w:t>
            </w:r>
            <w:r w:rsidRPr="00A43D45">
              <w:rPr>
                <w:rFonts w:cs="Times New Roman"/>
                <w:color w:val="000000" w:themeColor="text1"/>
                <w:kern w:val="0"/>
                <w:sz w:val="21"/>
                <w:szCs w:val="21"/>
              </w:rPr>
              <w:t>国道边（即伟</w:t>
            </w:r>
            <w:proofErr w:type="gramStart"/>
            <w:r w:rsidRPr="00A43D45">
              <w:rPr>
                <w:rFonts w:cs="Times New Roman"/>
                <w:color w:val="000000" w:themeColor="text1"/>
                <w:kern w:val="0"/>
                <w:sz w:val="21"/>
                <w:szCs w:val="21"/>
              </w:rPr>
              <w:t>烨</w:t>
            </w:r>
            <w:proofErr w:type="gramEnd"/>
            <w:r w:rsidRPr="00A43D45">
              <w:rPr>
                <w:rFonts w:cs="Times New Roman"/>
                <w:color w:val="000000" w:themeColor="text1"/>
                <w:kern w:val="0"/>
                <w:sz w:val="21"/>
                <w:szCs w:val="21"/>
              </w:rPr>
              <w:t>环保科技有限公司外）</w:t>
            </w:r>
          </w:p>
        </w:tc>
        <w:tc>
          <w:tcPr>
            <w:tcW w:w="307" w:type="pct"/>
            <w:shd w:val="clear" w:color="auto" w:fill="auto"/>
            <w:noWrap/>
            <w:vAlign w:val="center"/>
          </w:tcPr>
          <w:p w14:paraId="53698C80" w14:textId="087807E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w:t>
            </w:r>
          </w:p>
        </w:tc>
        <w:tc>
          <w:tcPr>
            <w:tcW w:w="234" w:type="pct"/>
            <w:shd w:val="clear" w:color="auto" w:fill="auto"/>
            <w:noWrap/>
            <w:vAlign w:val="center"/>
          </w:tcPr>
          <w:p w14:paraId="133FE517" w14:textId="7FD2CEB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240</w:t>
            </w:r>
          </w:p>
        </w:tc>
        <w:tc>
          <w:tcPr>
            <w:tcW w:w="307" w:type="pct"/>
            <w:shd w:val="clear" w:color="auto" w:fill="auto"/>
            <w:noWrap/>
            <w:vAlign w:val="center"/>
          </w:tcPr>
          <w:p w14:paraId="15446DFD" w14:textId="555191C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7D3C3316" w14:textId="35537CC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2D052491" w14:textId="5D8E6FB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39589A5B" w14:textId="2BDF29D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17265A12" w14:textId="5429087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5BBE23AF" w14:textId="77777777" w:rsidTr="000D6924">
        <w:trPr>
          <w:trHeight w:val="454"/>
        </w:trPr>
        <w:tc>
          <w:tcPr>
            <w:tcW w:w="171" w:type="pct"/>
            <w:shd w:val="clear" w:color="auto" w:fill="auto"/>
            <w:vAlign w:val="center"/>
            <w:hideMark/>
          </w:tcPr>
          <w:p w14:paraId="5E046FDB"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lastRenderedPageBreak/>
              <w:t>17</w:t>
            </w:r>
          </w:p>
        </w:tc>
        <w:tc>
          <w:tcPr>
            <w:tcW w:w="172" w:type="pct"/>
            <w:vMerge/>
            <w:vAlign w:val="center"/>
          </w:tcPr>
          <w:p w14:paraId="6B43FDB9"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2A6981E4"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2CA8E005" w14:textId="10B69052"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佛山</w:t>
            </w:r>
            <w:proofErr w:type="gramStart"/>
            <w:r w:rsidRPr="00A43D45">
              <w:rPr>
                <w:rFonts w:cs="Times New Roman"/>
                <w:color w:val="000000" w:themeColor="text1"/>
                <w:kern w:val="0"/>
                <w:sz w:val="21"/>
                <w:szCs w:val="21"/>
              </w:rPr>
              <w:t>市秒电新能源</w:t>
            </w:r>
            <w:proofErr w:type="gramEnd"/>
            <w:r w:rsidRPr="00A43D45">
              <w:rPr>
                <w:rFonts w:cs="Times New Roman"/>
                <w:color w:val="000000" w:themeColor="text1"/>
                <w:kern w:val="0"/>
                <w:sz w:val="21"/>
                <w:szCs w:val="21"/>
              </w:rPr>
              <w:t>科技有限公司</w:t>
            </w:r>
          </w:p>
        </w:tc>
        <w:tc>
          <w:tcPr>
            <w:tcW w:w="740" w:type="pct"/>
            <w:shd w:val="clear" w:color="auto" w:fill="auto"/>
            <w:vAlign w:val="center"/>
          </w:tcPr>
          <w:p w14:paraId="65A6F1A3" w14:textId="3C8DF29A"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秒电充电站</w:t>
            </w:r>
            <w:proofErr w:type="gramEnd"/>
            <w:r w:rsidRPr="00A43D45">
              <w:rPr>
                <w:rFonts w:cs="Times New Roman"/>
                <w:color w:val="000000" w:themeColor="text1"/>
                <w:kern w:val="0"/>
                <w:sz w:val="21"/>
                <w:szCs w:val="21"/>
              </w:rPr>
              <w:t>（古兜站）</w:t>
            </w:r>
          </w:p>
        </w:tc>
        <w:tc>
          <w:tcPr>
            <w:tcW w:w="591" w:type="pct"/>
            <w:shd w:val="clear" w:color="auto" w:fill="auto"/>
            <w:vAlign w:val="center"/>
          </w:tcPr>
          <w:p w14:paraId="5090E18A" w14:textId="2CA0D9E2"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新会区崖门镇南古斗桥</w:t>
            </w:r>
            <w:proofErr w:type="gramEnd"/>
            <w:r w:rsidRPr="00A43D45">
              <w:rPr>
                <w:rFonts w:cs="Times New Roman"/>
                <w:color w:val="000000" w:themeColor="text1"/>
                <w:kern w:val="0"/>
                <w:sz w:val="21"/>
                <w:szCs w:val="21"/>
              </w:rPr>
              <w:t>脚南滩地（古兜海鲜食街内两车位）</w:t>
            </w:r>
          </w:p>
        </w:tc>
        <w:tc>
          <w:tcPr>
            <w:tcW w:w="307" w:type="pct"/>
            <w:shd w:val="clear" w:color="auto" w:fill="auto"/>
            <w:noWrap/>
            <w:vAlign w:val="center"/>
          </w:tcPr>
          <w:p w14:paraId="6129577A" w14:textId="5EE5C7B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noWrap/>
            <w:vAlign w:val="center"/>
          </w:tcPr>
          <w:p w14:paraId="0A0DD630" w14:textId="302A810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120</w:t>
            </w:r>
          </w:p>
        </w:tc>
        <w:tc>
          <w:tcPr>
            <w:tcW w:w="307" w:type="pct"/>
            <w:shd w:val="clear" w:color="auto" w:fill="auto"/>
            <w:vAlign w:val="center"/>
          </w:tcPr>
          <w:p w14:paraId="4FDEB45F" w14:textId="69A4DE6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vAlign w:val="center"/>
          </w:tcPr>
          <w:p w14:paraId="2DBA7E8C" w14:textId="74F6099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33477AB7" w14:textId="3C5F986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583B84D6" w14:textId="2B54DD0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7E63F515" w14:textId="4535D3C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4490DE56" w14:textId="77777777" w:rsidTr="000D6924">
        <w:trPr>
          <w:trHeight w:val="454"/>
        </w:trPr>
        <w:tc>
          <w:tcPr>
            <w:tcW w:w="171" w:type="pct"/>
            <w:shd w:val="clear" w:color="auto" w:fill="auto"/>
            <w:vAlign w:val="center"/>
            <w:hideMark/>
          </w:tcPr>
          <w:p w14:paraId="286BD08F"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18</w:t>
            </w:r>
          </w:p>
        </w:tc>
        <w:tc>
          <w:tcPr>
            <w:tcW w:w="172" w:type="pct"/>
            <w:vMerge/>
            <w:vAlign w:val="center"/>
          </w:tcPr>
          <w:p w14:paraId="4B2CCB93"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108AA723"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323AB04C" w14:textId="46CB52CF"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江门市盛世新能源发展有限公司</w:t>
            </w:r>
          </w:p>
        </w:tc>
        <w:tc>
          <w:tcPr>
            <w:tcW w:w="740" w:type="pct"/>
            <w:shd w:val="clear" w:color="auto" w:fill="auto"/>
            <w:vAlign w:val="center"/>
          </w:tcPr>
          <w:p w14:paraId="108A317F" w14:textId="31D38812"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盛世新能源新塘围充电桩柱建设工程项目</w:t>
            </w:r>
          </w:p>
        </w:tc>
        <w:tc>
          <w:tcPr>
            <w:tcW w:w="591" w:type="pct"/>
            <w:shd w:val="clear" w:color="auto" w:fill="auto"/>
            <w:vAlign w:val="center"/>
          </w:tcPr>
          <w:p w14:paraId="20999F78" w14:textId="1B17F3A2"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会城新港大道新塘围之三（万达）</w:t>
            </w:r>
          </w:p>
        </w:tc>
        <w:tc>
          <w:tcPr>
            <w:tcW w:w="307" w:type="pct"/>
            <w:shd w:val="clear" w:color="auto" w:fill="auto"/>
            <w:noWrap/>
            <w:vAlign w:val="center"/>
          </w:tcPr>
          <w:p w14:paraId="40877943" w14:textId="1DDAA15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w:t>
            </w:r>
          </w:p>
        </w:tc>
        <w:tc>
          <w:tcPr>
            <w:tcW w:w="234" w:type="pct"/>
            <w:shd w:val="clear" w:color="auto" w:fill="auto"/>
            <w:noWrap/>
            <w:vAlign w:val="center"/>
          </w:tcPr>
          <w:p w14:paraId="2843E1CC" w14:textId="676CB5D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960</w:t>
            </w:r>
          </w:p>
        </w:tc>
        <w:tc>
          <w:tcPr>
            <w:tcW w:w="307" w:type="pct"/>
            <w:shd w:val="clear" w:color="auto" w:fill="auto"/>
            <w:vAlign w:val="center"/>
          </w:tcPr>
          <w:p w14:paraId="4F3A1C82" w14:textId="5089B3A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vAlign w:val="center"/>
          </w:tcPr>
          <w:p w14:paraId="0364996C" w14:textId="4DBDFBB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531ADEB0" w14:textId="3A660BE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48DDDAD5" w14:textId="71AFE05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0220EF81" w14:textId="3D0B703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7B0A915E" w14:textId="77777777" w:rsidTr="000D6924">
        <w:trPr>
          <w:trHeight w:val="454"/>
        </w:trPr>
        <w:tc>
          <w:tcPr>
            <w:tcW w:w="171" w:type="pct"/>
            <w:shd w:val="clear" w:color="auto" w:fill="auto"/>
            <w:vAlign w:val="center"/>
            <w:hideMark/>
          </w:tcPr>
          <w:p w14:paraId="04AE651C"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19</w:t>
            </w:r>
          </w:p>
        </w:tc>
        <w:tc>
          <w:tcPr>
            <w:tcW w:w="172" w:type="pct"/>
            <w:vMerge/>
            <w:vAlign w:val="center"/>
          </w:tcPr>
          <w:p w14:paraId="3169A1D0"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3C717CB5"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68CA04EB" w14:textId="0134B1CF"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文交通</w:t>
            </w:r>
            <w:proofErr w:type="gramEnd"/>
            <w:r w:rsidRPr="00A43D45">
              <w:rPr>
                <w:rFonts w:cs="Times New Roman"/>
                <w:color w:val="000000" w:themeColor="text1"/>
                <w:kern w:val="0"/>
                <w:sz w:val="21"/>
                <w:szCs w:val="21"/>
              </w:rPr>
              <w:t>投资集团有限公司新会公共汽车分公司</w:t>
            </w:r>
          </w:p>
        </w:tc>
        <w:tc>
          <w:tcPr>
            <w:tcW w:w="740" w:type="pct"/>
            <w:shd w:val="clear" w:color="auto" w:fill="auto"/>
            <w:vAlign w:val="center"/>
          </w:tcPr>
          <w:p w14:paraId="292B8B0E" w14:textId="00EA4035"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新会汽车总站公交车充电站迁建</w:t>
            </w:r>
            <w:proofErr w:type="gramStart"/>
            <w:r w:rsidRPr="00A43D45">
              <w:rPr>
                <w:rFonts w:cs="Times New Roman"/>
                <w:color w:val="000000" w:themeColor="text1"/>
                <w:kern w:val="0"/>
                <w:sz w:val="21"/>
                <w:szCs w:val="21"/>
              </w:rPr>
              <w:t>至城轨新会</w:t>
            </w:r>
            <w:proofErr w:type="gramEnd"/>
            <w:r w:rsidRPr="00A43D45">
              <w:rPr>
                <w:rFonts w:cs="Times New Roman"/>
                <w:color w:val="000000" w:themeColor="text1"/>
                <w:kern w:val="0"/>
                <w:sz w:val="21"/>
                <w:szCs w:val="21"/>
              </w:rPr>
              <w:t>公交站场及配套完善建议项目</w:t>
            </w:r>
          </w:p>
        </w:tc>
        <w:tc>
          <w:tcPr>
            <w:tcW w:w="591" w:type="pct"/>
            <w:shd w:val="clear" w:color="auto" w:fill="auto"/>
            <w:vAlign w:val="center"/>
          </w:tcPr>
          <w:p w14:paraId="06827035" w14:textId="35ADE721" w:rsidR="000D6924" w:rsidRPr="00A3388E" w:rsidRDefault="000D6924" w:rsidP="000D6924">
            <w:pPr>
              <w:widowControl/>
              <w:spacing w:line="240" w:lineRule="auto"/>
              <w:jc w:val="left"/>
              <w:rPr>
                <w:rFonts w:ascii="宋体" w:hAnsi="宋体" w:cs="Times New Roman"/>
                <w:color w:val="000000" w:themeColor="text1"/>
                <w:kern w:val="0"/>
                <w:sz w:val="24"/>
                <w:szCs w:val="24"/>
              </w:rPr>
            </w:pPr>
            <w:proofErr w:type="gramStart"/>
            <w:r w:rsidRPr="00A43D45">
              <w:rPr>
                <w:rFonts w:cs="Times New Roman"/>
                <w:color w:val="000000" w:themeColor="text1"/>
                <w:kern w:val="0"/>
                <w:sz w:val="21"/>
                <w:szCs w:val="21"/>
              </w:rPr>
              <w:t>城轨新会站</w:t>
            </w:r>
            <w:proofErr w:type="gramEnd"/>
            <w:r w:rsidRPr="00A43D45">
              <w:rPr>
                <w:rFonts w:cs="Times New Roman"/>
                <w:color w:val="000000" w:themeColor="text1"/>
                <w:kern w:val="0"/>
                <w:sz w:val="21"/>
                <w:szCs w:val="21"/>
              </w:rPr>
              <w:t>公交充电站广东省江门市新会区会城东甲村、大</w:t>
            </w:r>
            <w:proofErr w:type="gramStart"/>
            <w:r w:rsidRPr="00A43D45">
              <w:rPr>
                <w:rFonts w:cs="Times New Roman"/>
                <w:color w:val="000000" w:themeColor="text1"/>
                <w:kern w:val="0"/>
                <w:sz w:val="21"/>
                <w:szCs w:val="21"/>
              </w:rPr>
              <w:t>滘</w:t>
            </w:r>
            <w:proofErr w:type="gramEnd"/>
            <w:r w:rsidRPr="00A43D45">
              <w:rPr>
                <w:rFonts w:cs="Times New Roman"/>
                <w:color w:val="000000" w:themeColor="text1"/>
                <w:kern w:val="0"/>
                <w:sz w:val="21"/>
                <w:szCs w:val="21"/>
              </w:rPr>
              <w:t>村储备用地（广东江门新会经济开发区）</w:t>
            </w:r>
          </w:p>
        </w:tc>
        <w:tc>
          <w:tcPr>
            <w:tcW w:w="307" w:type="pct"/>
            <w:shd w:val="clear" w:color="auto" w:fill="auto"/>
            <w:noWrap/>
            <w:vAlign w:val="center"/>
          </w:tcPr>
          <w:p w14:paraId="551745BE" w14:textId="0C6F54FC"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noWrap/>
            <w:vAlign w:val="center"/>
          </w:tcPr>
          <w:p w14:paraId="78DB7578" w14:textId="261BFA6D"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200</w:t>
            </w:r>
          </w:p>
        </w:tc>
        <w:tc>
          <w:tcPr>
            <w:tcW w:w="307" w:type="pct"/>
            <w:shd w:val="clear" w:color="auto" w:fill="auto"/>
            <w:noWrap/>
            <w:vAlign w:val="center"/>
          </w:tcPr>
          <w:p w14:paraId="16366891" w14:textId="1A62E7E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405652C6" w14:textId="5F66C37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36AADEBB" w14:textId="77E41D2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542F6FD1" w14:textId="033DFCB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3AE1947F" w14:textId="7ADD84E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5A84A71C" w14:textId="77777777" w:rsidTr="000D6924">
        <w:trPr>
          <w:trHeight w:val="454"/>
        </w:trPr>
        <w:tc>
          <w:tcPr>
            <w:tcW w:w="171" w:type="pct"/>
            <w:shd w:val="clear" w:color="auto" w:fill="auto"/>
            <w:vAlign w:val="center"/>
            <w:hideMark/>
          </w:tcPr>
          <w:p w14:paraId="5F77BD0E"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lastRenderedPageBreak/>
              <w:t>20</w:t>
            </w:r>
          </w:p>
        </w:tc>
        <w:tc>
          <w:tcPr>
            <w:tcW w:w="172" w:type="pct"/>
            <w:vMerge/>
            <w:vAlign w:val="center"/>
          </w:tcPr>
          <w:p w14:paraId="0F9CB04F"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09248199"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588C7537" w14:textId="5D96072C"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w:t>
            </w:r>
            <w:proofErr w:type="gramStart"/>
            <w:r w:rsidRPr="00A43D45">
              <w:rPr>
                <w:rFonts w:cs="Times New Roman"/>
                <w:color w:val="000000" w:themeColor="text1"/>
                <w:kern w:val="0"/>
                <w:sz w:val="21"/>
                <w:szCs w:val="21"/>
              </w:rPr>
              <w:t>文交通</w:t>
            </w:r>
            <w:proofErr w:type="gramEnd"/>
            <w:r w:rsidRPr="00A43D45">
              <w:rPr>
                <w:rFonts w:cs="Times New Roman"/>
                <w:color w:val="000000" w:themeColor="text1"/>
                <w:kern w:val="0"/>
                <w:sz w:val="21"/>
                <w:szCs w:val="21"/>
              </w:rPr>
              <w:t>投资集团有限公司新会公共汽车分公司</w:t>
            </w:r>
          </w:p>
        </w:tc>
        <w:tc>
          <w:tcPr>
            <w:tcW w:w="740" w:type="pct"/>
            <w:shd w:val="clear" w:color="auto" w:fill="auto"/>
            <w:vAlign w:val="center"/>
          </w:tcPr>
          <w:p w14:paraId="1F79A662" w14:textId="6B88A777"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新会公共汽车分公司同庆路</w:t>
            </w:r>
            <w:proofErr w:type="gramStart"/>
            <w:r w:rsidRPr="00A43D45">
              <w:rPr>
                <w:rFonts w:cs="Times New Roman"/>
                <w:color w:val="000000" w:themeColor="text1"/>
                <w:kern w:val="0"/>
                <w:sz w:val="21"/>
                <w:szCs w:val="21"/>
              </w:rPr>
              <w:t>公交首</w:t>
            </w:r>
            <w:proofErr w:type="gramEnd"/>
            <w:r w:rsidRPr="00A43D45">
              <w:rPr>
                <w:rFonts w:cs="Times New Roman"/>
                <w:color w:val="000000" w:themeColor="text1"/>
                <w:kern w:val="0"/>
                <w:sz w:val="21"/>
                <w:szCs w:val="21"/>
              </w:rPr>
              <w:t>末站充电站</w:t>
            </w:r>
          </w:p>
        </w:tc>
        <w:tc>
          <w:tcPr>
            <w:tcW w:w="591" w:type="pct"/>
            <w:shd w:val="clear" w:color="auto" w:fill="auto"/>
            <w:vAlign w:val="center"/>
          </w:tcPr>
          <w:p w14:paraId="18F0CA8E" w14:textId="748D7AA9"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新会公共汽车分公司同庆路</w:t>
            </w:r>
            <w:proofErr w:type="gramStart"/>
            <w:r w:rsidRPr="00A43D45">
              <w:rPr>
                <w:rFonts w:cs="Times New Roman"/>
                <w:color w:val="000000" w:themeColor="text1"/>
                <w:kern w:val="0"/>
                <w:sz w:val="21"/>
                <w:szCs w:val="21"/>
              </w:rPr>
              <w:t>公交首</w:t>
            </w:r>
            <w:proofErr w:type="gramEnd"/>
            <w:r w:rsidRPr="00A43D45">
              <w:rPr>
                <w:rFonts w:cs="Times New Roman"/>
                <w:color w:val="000000" w:themeColor="text1"/>
                <w:kern w:val="0"/>
                <w:sz w:val="21"/>
                <w:szCs w:val="21"/>
              </w:rPr>
              <w:t>末站充电站江门新会区会城中心区</w:t>
            </w:r>
            <w:r w:rsidRPr="00A43D45">
              <w:rPr>
                <w:rFonts w:cs="Times New Roman"/>
                <w:color w:val="000000" w:themeColor="text1"/>
                <w:kern w:val="0"/>
                <w:sz w:val="21"/>
                <w:szCs w:val="21"/>
              </w:rPr>
              <w:t>04-02</w:t>
            </w:r>
            <w:r w:rsidRPr="00A43D45">
              <w:rPr>
                <w:rFonts w:cs="Times New Roman"/>
                <w:color w:val="000000" w:themeColor="text1"/>
                <w:kern w:val="0"/>
                <w:sz w:val="21"/>
                <w:szCs w:val="21"/>
              </w:rPr>
              <w:t>地块（广东江门新会经济开发区）</w:t>
            </w:r>
          </w:p>
        </w:tc>
        <w:tc>
          <w:tcPr>
            <w:tcW w:w="307" w:type="pct"/>
            <w:shd w:val="clear" w:color="auto" w:fill="auto"/>
            <w:vAlign w:val="center"/>
          </w:tcPr>
          <w:p w14:paraId="689771F7" w14:textId="0465511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6</w:t>
            </w:r>
          </w:p>
        </w:tc>
        <w:tc>
          <w:tcPr>
            <w:tcW w:w="234" w:type="pct"/>
            <w:shd w:val="clear" w:color="auto" w:fill="auto"/>
            <w:vAlign w:val="center"/>
          </w:tcPr>
          <w:p w14:paraId="14FBFC68" w14:textId="3DE4EDA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1600</w:t>
            </w:r>
          </w:p>
        </w:tc>
        <w:tc>
          <w:tcPr>
            <w:tcW w:w="307" w:type="pct"/>
            <w:shd w:val="clear" w:color="auto" w:fill="auto"/>
            <w:noWrap/>
            <w:vAlign w:val="center"/>
          </w:tcPr>
          <w:p w14:paraId="220ED5EF" w14:textId="127DAA5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2E31F57C" w14:textId="79FB6A9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0A283545" w14:textId="054002E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43903D15" w14:textId="7C14B83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0F841E22" w14:textId="1F41CE8B"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68C5D0DE" w14:textId="77777777" w:rsidTr="000D6924">
        <w:trPr>
          <w:trHeight w:val="454"/>
        </w:trPr>
        <w:tc>
          <w:tcPr>
            <w:tcW w:w="171" w:type="pct"/>
            <w:shd w:val="clear" w:color="auto" w:fill="auto"/>
            <w:vAlign w:val="center"/>
            <w:hideMark/>
          </w:tcPr>
          <w:p w14:paraId="2E0BD62F"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21</w:t>
            </w:r>
          </w:p>
        </w:tc>
        <w:tc>
          <w:tcPr>
            <w:tcW w:w="172" w:type="pct"/>
            <w:vMerge/>
            <w:vAlign w:val="center"/>
          </w:tcPr>
          <w:p w14:paraId="172489F7"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6FCD87BE"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3ADD7B03" w14:textId="5F9E0CEF"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江门市大光明新能源技术有限公司</w:t>
            </w:r>
          </w:p>
        </w:tc>
        <w:tc>
          <w:tcPr>
            <w:tcW w:w="740" w:type="pct"/>
            <w:shd w:val="clear" w:color="auto" w:fill="auto"/>
            <w:vAlign w:val="center"/>
          </w:tcPr>
          <w:p w14:paraId="5DC4E6A6" w14:textId="72A79E1A"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新会</w:t>
            </w:r>
            <w:r w:rsidRPr="00A43D45">
              <w:rPr>
                <w:rFonts w:cs="Times New Roman"/>
                <w:color w:val="000000" w:themeColor="text1"/>
                <w:kern w:val="0"/>
                <w:sz w:val="21"/>
                <w:szCs w:val="21"/>
              </w:rPr>
              <w:t>ABB</w:t>
            </w:r>
            <w:r w:rsidRPr="00A43D45">
              <w:rPr>
                <w:rFonts w:cs="Times New Roman"/>
                <w:color w:val="000000" w:themeColor="text1"/>
                <w:kern w:val="0"/>
                <w:sz w:val="21"/>
                <w:szCs w:val="21"/>
              </w:rPr>
              <w:t>站</w:t>
            </w:r>
          </w:p>
        </w:tc>
        <w:tc>
          <w:tcPr>
            <w:tcW w:w="591" w:type="pct"/>
            <w:shd w:val="clear" w:color="auto" w:fill="auto"/>
            <w:vAlign w:val="center"/>
          </w:tcPr>
          <w:p w14:paraId="65D14FDC" w14:textId="23693D43"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江门市新会区三和大道北</w:t>
            </w:r>
            <w:r w:rsidRPr="00A43D45">
              <w:rPr>
                <w:rFonts w:cs="Times New Roman"/>
                <w:color w:val="000000" w:themeColor="text1"/>
                <w:kern w:val="0"/>
                <w:sz w:val="21"/>
                <w:szCs w:val="21"/>
              </w:rPr>
              <w:t>5</w:t>
            </w:r>
            <w:r w:rsidRPr="00A43D45">
              <w:rPr>
                <w:rFonts w:cs="Times New Roman"/>
                <w:color w:val="000000" w:themeColor="text1"/>
                <w:kern w:val="0"/>
                <w:sz w:val="21"/>
                <w:szCs w:val="21"/>
              </w:rPr>
              <w:t>号（新会</w:t>
            </w:r>
            <w:r w:rsidRPr="00A43D45">
              <w:rPr>
                <w:rFonts w:cs="Times New Roman"/>
                <w:color w:val="000000" w:themeColor="text1"/>
                <w:kern w:val="0"/>
                <w:sz w:val="21"/>
                <w:szCs w:val="21"/>
              </w:rPr>
              <w:t>ABB</w:t>
            </w:r>
            <w:r w:rsidRPr="00A43D45">
              <w:rPr>
                <w:rFonts w:cs="Times New Roman"/>
                <w:color w:val="000000" w:themeColor="text1"/>
                <w:kern w:val="0"/>
                <w:sz w:val="21"/>
                <w:szCs w:val="21"/>
              </w:rPr>
              <w:t>门口往前</w:t>
            </w:r>
            <w:r w:rsidRPr="00A43D45">
              <w:rPr>
                <w:rFonts w:cs="Times New Roman"/>
                <w:color w:val="000000" w:themeColor="text1"/>
                <w:kern w:val="0"/>
                <w:sz w:val="21"/>
                <w:szCs w:val="21"/>
              </w:rPr>
              <w:t>20</w:t>
            </w:r>
            <w:r w:rsidRPr="00A43D45">
              <w:rPr>
                <w:rFonts w:cs="Times New Roman"/>
                <w:color w:val="000000" w:themeColor="text1"/>
                <w:kern w:val="0"/>
                <w:sz w:val="21"/>
                <w:szCs w:val="21"/>
              </w:rPr>
              <w:t>米）</w:t>
            </w:r>
          </w:p>
        </w:tc>
        <w:tc>
          <w:tcPr>
            <w:tcW w:w="307" w:type="pct"/>
            <w:shd w:val="clear" w:color="auto" w:fill="auto"/>
            <w:vAlign w:val="center"/>
          </w:tcPr>
          <w:p w14:paraId="29F197CB" w14:textId="3D353784"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w:t>
            </w:r>
          </w:p>
        </w:tc>
        <w:tc>
          <w:tcPr>
            <w:tcW w:w="234" w:type="pct"/>
            <w:shd w:val="clear" w:color="auto" w:fill="auto"/>
            <w:vAlign w:val="center"/>
          </w:tcPr>
          <w:p w14:paraId="34591DAA" w14:textId="3D9F84D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240</w:t>
            </w:r>
          </w:p>
        </w:tc>
        <w:tc>
          <w:tcPr>
            <w:tcW w:w="307" w:type="pct"/>
            <w:shd w:val="clear" w:color="auto" w:fill="auto"/>
            <w:noWrap/>
            <w:vAlign w:val="center"/>
          </w:tcPr>
          <w:p w14:paraId="59D3D135" w14:textId="2BB712C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2E0DBEEA" w14:textId="29592A4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6061D69F" w14:textId="03BCB470"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247373C5" w14:textId="41ED127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7C2D1684" w14:textId="3A9D7EF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02075E4E" w14:textId="77777777" w:rsidTr="000D6924">
        <w:trPr>
          <w:trHeight w:val="454"/>
        </w:trPr>
        <w:tc>
          <w:tcPr>
            <w:tcW w:w="171" w:type="pct"/>
            <w:shd w:val="clear" w:color="auto" w:fill="auto"/>
            <w:vAlign w:val="center"/>
            <w:hideMark/>
          </w:tcPr>
          <w:p w14:paraId="07EACBDD"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22</w:t>
            </w:r>
          </w:p>
        </w:tc>
        <w:tc>
          <w:tcPr>
            <w:tcW w:w="172" w:type="pct"/>
            <w:vMerge/>
            <w:vAlign w:val="center"/>
          </w:tcPr>
          <w:p w14:paraId="559B9063"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4BFEFB28"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0FF61B87" w14:textId="4D630BFC"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江门市大光明新能源技术有限公司</w:t>
            </w:r>
          </w:p>
        </w:tc>
        <w:tc>
          <w:tcPr>
            <w:tcW w:w="740" w:type="pct"/>
            <w:shd w:val="clear" w:color="auto" w:fill="auto"/>
            <w:vAlign w:val="center"/>
          </w:tcPr>
          <w:p w14:paraId="6F8AD664" w14:textId="176009E3"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双水</w:t>
            </w:r>
            <w:proofErr w:type="gramStart"/>
            <w:r w:rsidRPr="00A43D45">
              <w:rPr>
                <w:rFonts w:cs="Times New Roman"/>
                <w:color w:val="000000" w:themeColor="text1"/>
                <w:kern w:val="0"/>
                <w:sz w:val="21"/>
                <w:szCs w:val="21"/>
              </w:rPr>
              <w:t>宝骏小</w:t>
            </w:r>
            <w:proofErr w:type="gramEnd"/>
            <w:r w:rsidRPr="00A43D45">
              <w:rPr>
                <w:rFonts w:cs="Times New Roman"/>
                <w:color w:val="000000" w:themeColor="text1"/>
                <w:kern w:val="0"/>
                <w:sz w:val="21"/>
                <w:szCs w:val="21"/>
              </w:rPr>
              <w:t>冈香业城充电站</w:t>
            </w:r>
          </w:p>
        </w:tc>
        <w:tc>
          <w:tcPr>
            <w:tcW w:w="591" w:type="pct"/>
            <w:shd w:val="clear" w:color="auto" w:fill="auto"/>
            <w:vAlign w:val="center"/>
          </w:tcPr>
          <w:p w14:paraId="3C4FBE0D" w14:textId="5A67F512"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江门市新会区双水镇双水大道</w:t>
            </w:r>
            <w:r w:rsidRPr="00A43D45">
              <w:rPr>
                <w:rFonts w:cs="Times New Roman"/>
                <w:color w:val="000000" w:themeColor="text1"/>
                <w:kern w:val="0"/>
                <w:sz w:val="21"/>
                <w:szCs w:val="21"/>
              </w:rPr>
              <w:t>73</w:t>
            </w:r>
            <w:r w:rsidRPr="00A43D45">
              <w:rPr>
                <w:rFonts w:cs="Times New Roman"/>
                <w:color w:val="000000" w:themeColor="text1"/>
                <w:kern w:val="0"/>
                <w:sz w:val="21"/>
                <w:szCs w:val="21"/>
              </w:rPr>
              <w:t>号（小冈香业城背面）</w:t>
            </w:r>
          </w:p>
        </w:tc>
        <w:tc>
          <w:tcPr>
            <w:tcW w:w="307" w:type="pct"/>
            <w:shd w:val="clear" w:color="auto" w:fill="auto"/>
            <w:vAlign w:val="center"/>
          </w:tcPr>
          <w:p w14:paraId="5A3ADF26" w14:textId="5CB6A2A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w:t>
            </w:r>
          </w:p>
        </w:tc>
        <w:tc>
          <w:tcPr>
            <w:tcW w:w="234" w:type="pct"/>
            <w:shd w:val="clear" w:color="auto" w:fill="auto"/>
            <w:vAlign w:val="center"/>
          </w:tcPr>
          <w:p w14:paraId="1F8F9A43" w14:textId="658BC75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360</w:t>
            </w:r>
          </w:p>
        </w:tc>
        <w:tc>
          <w:tcPr>
            <w:tcW w:w="307" w:type="pct"/>
            <w:shd w:val="clear" w:color="auto" w:fill="auto"/>
            <w:noWrap/>
            <w:vAlign w:val="center"/>
          </w:tcPr>
          <w:p w14:paraId="631DAD91" w14:textId="3E6B8EE1"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04987A7B" w14:textId="3F5516A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689F7C40" w14:textId="7962CF9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496E8C99" w14:textId="3EEA5E6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3114B242" w14:textId="471BB23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020F31C3" w14:textId="77777777" w:rsidTr="000D6924">
        <w:trPr>
          <w:trHeight w:val="454"/>
        </w:trPr>
        <w:tc>
          <w:tcPr>
            <w:tcW w:w="171" w:type="pct"/>
            <w:shd w:val="clear" w:color="auto" w:fill="auto"/>
            <w:vAlign w:val="center"/>
            <w:hideMark/>
          </w:tcPr>
          <w:p w14:paraId="6FB97F05"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lastRenderedPageBreak/>
              <w:t>23</w:t>
            </w:r>
          </w:p>
        </w:tc>
        <w:tc>
          <w:tcPr>
            <w:tcW w:w="172" w:type="pct"/>
            <w:vMerge/>
            <w:vAlign w:val="center"/>
          </w:tcPr>
          <w:p w14:paraId="3A4AD4DC"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63D4D802"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776FA7A1" w14:textId="6BCF903F"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江门市大光明新能源技术有限公司</w:t>
            </w:r>
          </w:p>
        </w:tc>
        <w:tc>
          <w:tcPr>
            <w:tcW w:w="740" w:type="pct"/>
            <w:shd w:val="clear" w:color="auto" w:fill="auto"/>
            <w:vAlign w:val="center"/>
          </w:tcPr>
          <w:p w14:paraId="117EC2B4" w14:textId="6131A8CD"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科工商务局充电站</w:t>
            </w:r>
          </w:p>
        </w:tc>
        <w:tc>
          <w:tcPr>
            <w:tcW w:w="591" w:type="pct"/>
            <w:shd w:val="clear" w:color="auto" w:fill="auto"/>
            <w:vAlign w:val="center"/>
          </w:tcPr>
          <w:p w14:paraId="47002691" w14:textId="4925A494"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江门市新会区圭峰东路</w:t>
            </w:r>
            <w:r w:rsidRPr="00A43D45">
              <w:rPr>
                <w:rFonts w:cs="Times New Roman"/>
                <w:color w:val="000000" w:themeColor="text1"/>
                <w:kern w:val="0"/>
                <w:sz w:val="21"/>
                <w:szCs w:val="21"/>
              </w:rPr>
              <w:t>24</w:t>
            </w:r>
            <w:r w:rsidRPr="00A43D45">
              <w:rPr>
                <w:rFonts w:cs="Times New Roman"/>
                <w:color w:val="000000" w:themeColor="text1"/>
                <w:kern w:val="0"/>
                <w:sz w:val="21"/>
                <w:szCs w:val="21"/>
              </w:rPr>
              <w:t>号</w:t>
            </w:r>
          </w:p>
        </w:tc>
        <w:tc>
          <w:tcPr>
            <w:tcW w:w="307" w:type="pct"/>
            <w:shd w:val="clear" w:color="auto" w:fill="auto"/>
            <w:vAlign w:val="center"/>
          </w:tcPr>
          <w:p w14:paraId="6BD464D6" w14:textId="3E5287A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w:t>
            </w:r>
          </w:p>
        </w:tc>
        <w:tc>
          <w:tcPr>
            <w:tcW w:w="234" w:type="pct"/>
            <w:shd w:val="clear" w:color="auto" w:fill="auto"/>
            <w:vAlign w:val="center"/>
          </w:tcPr>
          <w:p w14:paraId="4E2D4F9E" w14:textId="7F2B68C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360</w:t>
            </w:r>
          </w:p>
        </w:tc>
        <w:tc>
          <w:tcPr>
            <w:tcW w:w="307" w:type="pct"/>
            <w:shd w:val="clear" w:color="auto" w:fill="auto"/>
            <w:noWrap/>
            <w:vAlign w:val="center"/>
          </w:tcPr>
          <w:p w14:paraId="3B542D33" w14:textId="3F5FD3AA"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noWrap/>
            <w:vAlign w:val="center"/>
          </w:tcPr>
          <w:p w14:paraId="2756DE56" w14:textId="5A48094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4A9C56CB" w14:textId="5EC33982"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6ABA8382" w14:textId="4033B8C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1054034C" w14:textId="0C912A46"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676B0B6D" w14:textId="77777777" w:rsidTr="000D6924">
        <w:trPr>
          <w:trHeight w:val="454"/>
        </w:trPr>
        <w:tc>
          <w:tcPr>
            <w:tcW w:w="171" w:type="pct"/>
            <w:shd w:val="clear" w:color="auto" w:fill="auto"/>
            <w:vAlign w:val="center"/>
            <w:hideMark/>
          </w:tcPr>
          <w:p w14:paraId="1BF4AD54"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24</w:t>
            </w:r>
          </w:p>
        </w:tc>
        <w:tc>
          <w:tcPr>
            <w:tcW w:w="172" w:type="pct"/>
            <w:vMerge/>
            <w:vAlign w:val="center"/>
          </w:tcPr>
          <w:p w14:paraId="14AA3ECC"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Merge/>
            <w:vAlign w:val="center"/>
          </w:tcPr>
          <w:p w14:paraId="6237C2F7"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103F7A0A" w14:textId="14DDA897"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广东晶钛新能源科技有限公司</w:t>
            </w:r>
          </w:p>
        </w:tc>
        <w:tc>
          <w:tcPr>
            <w:tcW w:w="740" w:type="pct"/>
            <w:shd w:val="clear" w:color="auto" w:fill="auto"/>
            <w:vAlign w:val="center"/>
          </w:tcPr>
          <w:p w14:paraId="6E399238" w14:textId="44278F04" w:rsidR="000D6924" w:rsidRPr="00A3388E" w:rsidRDefault="000D6924" w:rsidP="000D6924">
            <w:pPr>
              <w:widowControl/>
              <w:spacing w:line="240" w:lineRule="auto"/>
              <w:jc w:val="left"/>
              <w:rPr>
                <w:rFonts w:ascii="宋体" w:hAnsi="宋体" w:cs="Times New Roman"/>
                <w:color w:val="000000" w:themeColor="text1"/>
                <w:kern w:val="0"/>
                <w:sz w:val="24"/>
                <w:szCs w:val="24"/>
              </w:rPr>
            </w:pPr>
            <w:r w:rsidRPr="00A43D45">
              <w:rPr>
                <w:rFonts w:cs="Times New Roman"/>
                <w:color w:val="000000" w:themeColor="text1"/>
                <w:kern w:val="0"/>
                <w:sz w:val="21"/>
                <w:szCs w:val="21"/>
              </w:rPr>
              <w:t>陈皮村充电站</w:t>
            </w:r>
          </w:p>
        </w:tc>
        <w:tc>
          <w:tcPr>
            <w:tcW w:w="591" w:type="pct"/>
            <w:shd w:val="clear" w:color="auto" w:fill="auto"/>
            <w:vAlign w:val="center"/>
          </w:tcPr>
          <w:p w14:paraId="31AB5E37" w14:textId="3CA670B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color w:val="000000" w:themeColor="text1"/>
                <w:kern w:val="0"/>
                <w:sz w:val="21"/>
                <w:szCs w:val="21"/>
              </w:rPr>
              <w:t>江门市新会区</w:t>
            </w:r>
            <w:proofErr w:type="gramStart"/>
            <w:r w:rsidRPr="00A43D45">
              <w:rPr>
                <w:rFonts w:cs="Times New Roman"/>
                <w:color w:val="000000" w:themeColor="text1"/>
                <w:kern w:val="0"/>
                <w:sz w:val="21"/>
                <w:szCs w:val="21"/>
              </w:rPr>
              <w:t>会城银湖</w:t>
            </w:r>
            <w:proofErr w:type="gramEnd"/>
            <w:r w:rsidRPr="00A43D45">
              <w:rPr>
                <w:rFonts w:cs="Times New Roman"/>
                <w:color w:val="000000" w:themeColor="text1"/>
                <w:kern w:val="0"/>
                <w:sz w:val="21"/>
                <w:szCs w:val="21"/>
              </w:rPr>
              <w:t>大道</w:t>
            </w:r>
            <w:r w:rsidRPr="00A43D45">
              <w:rPr>
                <w:rFonts w:cs="Times New Roman"/>
                <w:color w:val="000000" w:themeColor="text1"/>
                <w:kern w:val="0"/>
                <w:sz w:val="21"/>
                <w:szCs w:val="21"/>
              </w:rPr>
              <w:t>9</w:t>
            </w:r>
            <w:r w:rsidRPr="00A43D45">
              <w:rPr>
                <w:rFonts w:cs="Times New Roman"/>
                <w:color w:val="000000" w:themeColor="text1"/>
                <w:kern w:val="0"/>
                <w:sz w:val="21"/>
                <w:szCs w:val="21"/>
              </w:rPr>
              <w:t>号陈皮村停车场</w:t>
            </w:r>
          </w:p>
        </w:tc>
        <w:tc>
          <w:tcPr>
            <w:tcW w:w="307" w:type="pct"/>
            <w:shd w:val="clear" w:color="auto" w:fill="auto"/>
            <w:vAlign w:val="center"/>
          </w:tcPr>
          <w:p w14:paraId="164A1ECD" w14:textId="1898F7E9"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1</w:t>
            </w:r>
          </w:p>
        </w:tc>
        <w:tc>
          <w:tcPr>
            <w:tcW w:w="234" w:type="pct"/>
            <w:shd w:val="clear" w:color="auto" w:fill="auto"/>
            <w:vAlign w:val="center"/>
          </w:tcPr>
          <w:p w14:paraId="348C6881" w14:textId="3F6B569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200</w:t>
            </w:r>
          </w:p>
        </w:tc>
        <w:tc>
          <w:tcPr>
            <w:tcW w:w="307" w:type="pct"/>
            <w:shd w:val="clear" w:color="auto" w:fill="auto"/>
            <w:vAlign w:val="center"/>
          </w:tcPr>
          <w:p w14:paraId="0991E207" w14:textId="13E51055"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233" w:type="pct"/>
            <w:shd w:val="clear" w:color="auto" w:fill="auto"/>
            <w:vAlign w:val="center"/>
          </w:tcPr>
          <w:p w14:paraId="3C98CCC2" w14:textId="55B058E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w:t>
            </w:r>
          </w:p>
        </w:tc>
        <w:tc>
          <w:tcPr>
            <w:tcW w:w="736" w:type="pct"/>
            <w:vAlign w:val="center"/>
          </w:tcPr>
          <w:p w14:paraId="3EC16778" w14:textId="02822618"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72" w:type="pct"/>
            <w:vAlign w:val="center"/>
          </w:tcPr>
          <w:p w14:paraId="1CAB3532" w14:textId="1B45A38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Pr>
                <w:rFonts w:cs="Times New Roman" w:hint="eastAsia"/>
                <w:color w:val="000000"/>
                <w:kern w:val="0"/>
                <w:sz w:val="21"/>
                <w:szCs w:val="21"/>
              </w:rPr>
              <w:t>无</w:t>
            </w:r>
          </w:p>
        </w:tc>
        <w:tc>
          <w:tcPr>
            <w:tcW w:w="368" w:type="pct"/>
            <w:vAlign w:val="center"/>
          </w:tcPr>
          <w:p w14:paraId="6F248764" w14:textId="380F72AE"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735788">
              <w:rPr>
                <w:rFonts w:ascii="宋体" w:hAnsi="宋体" w:cs="Times New Roman" w:hint="eastAsia"/>
                <w:color w:val="000000" w:themeColor="text1"/>
                <w:kern w:val="0"/>
                <w:sz w:val="24"/>
                <w:szCs w:val="24"/>
              </w:rPr>
              <w:t>推荐</w:t>
            </w:r>
          </w:p>
        </w:tc>
      </w:tr>
      <w:tr w:rsidR="000D6924" w:rsidRPr="00A3388E" w14:paraId="7A1FA8DB" w14:textId="77777777" w:rsidTr="000D6924">
        <w:trPr>
          <w:trHeight w:val="454"/>
        </w:trPr>
        <w:tc>
          <w:tcPr>
            <w:tcW w:w="171" w:type="pct"/>
            <w:shd w:val="clear" w:color="auto" w:fill="auto"/>
            <w:vAlign w:val="center"/>
            <w:hideMark/>
          </w:tcPr>
          <w:p w14:paraId="10A2376E"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3388E">
              <w:rPr>
                <w:rFonts w:ascii="宋体" w:hAnsi="宋体" w:cs="Times New Roman"/>
                <w:color w:val="000000" w:themeColor="text1"/>
                <w:kern w:val="0"/>
                <w:sz w:val="24"/>
                <w:szCs w:val="24"/>
              </w:rPr>
              <w:t>合计</w:t>
            </w:r>
          </w:p>
        </w:tc>
        <w:tc>
          <w:tcPr>
            <w:tcW w:w="172" w:type="pct"/>
            <w:vAlign w:val="center"/>
          </w:tcPr>
          <w:p w14:paraId="3A3540D7"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227" w:type="pct"/>
            <w:vAlign w:val="center"/>
          </w:tcPr>
          <w:p w14:paraId="280555B1"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41" w:type="pct"/>
            <w:vAlign w:val="center"/>
          </w:tcPr>
          <w:p w14:paraId="6FB53C1E"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740" w:type="pct"/>
            <w:shd w:val="clear" w:color="auto" w:fill="auto"/>
            <w:vAlign w:val="center"/>
          </w:tcPr>
          <w:p w14:paraId="16D03C6B"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591" w:type="pct"/>
            <w:shd w:val="clear" w:color="auto" w:fill="auto"/>
            <w:vAlign w:val="center"/>
          </w:tcPr>
          <w:p w14:paraId="4DAA8F8A" w14:textId="77777777" w:rsidR="000D6924" w:rsidRPr="00A3388E" w:rsidRDefault="000D6924" w:rsidP="000D6924">
            <w:pPr>
              <w:widowControl/>
              <w:spacing w:line="240" w:lineRule="auto"/>
              <w:jc w:val="left"/>
              <w:rPr>
                <w:rFonts w:ascii="宋体" w:hAnsi="宋体" w:cs="Times New Roman"/>
                <w:color w:val="000000" w:themeColor="text1"/>
                <w:kern w:val="0"/>
                <w:sz w:val="24"/>
                <w:szCs w:val="24"/>
              </w:rPr>
            </w:pPr>
          </w:p>
        </w:tc>
        <w:tc>
          <w:tcPr>
            <w:tcW w:w="307" w:type="pct"/>
            <w:shd w:val="clear" w:color="auto" w:fill="auto"/>
            <w:vAlign w:val="center"/>
          </w:tcPr>
          <w:p w14:paraId="23518397" w14:textId="69508A4F"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70</w:t>
            </w:r>
          </w:p>
        </w:tc>
        <w:tc>
          <w:tcPr>
            <w:tcW w:w="234" w:type="pct"/>
            <w:shd w:val="clear" w:color="auto" w:fill="auto"/>
            <w:vAlign w:val="center"/>
          </w:tcPr>
          <w:p w14:paraId="09320543" w14:textId="51D6EF76"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9460</w:t>
            </w:r>
          </w:p>
        </w:tc>
        <w:tc>
          <w:tcPr>
            <w:tcW w:w="307" w:type="pct"/>
            <w:shd w:val="clear" w:color="auto" w:fill="auto"/>
            <w:vAlign w:val="center"/>
          </w:tcPr>
          <w:p w14:paraId="5F0080CD" w14:textId="3DAD57E3"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33</w:t>
            </w:r>
          </w:p>
        </w:tc>
        <w:tc>
          <w:tcPr>
            <w:tcW w:w="233" w:type="pct"/>
            <w:shd w:val="clear" w:color="auto" w:fill="auto"/>
            <w:vAlign w:val="center"/>
          </w:tcPr>
          <w:p w14:paraId="315A31C8" w14:textId="3E116706" w:rsidR="000D6924" w:rsidRPr="00A3388E" w:rsidRDefault="000D6924" w:rsidP="000D6924">
            <w:pPr>
              <w:widowControl/>
              <w:spacing w:line="240" w:lineRule="auto"/>
              <w:jc w:val="center"/>
              <w:rPr>
                <w:rFonts w:ascii="宋体" w:hAnsi="宋体" w:cs="Times New Roman"/>
                <w:color w:val="000000" w:themeColor="text1"/>
                <w:kern w:val="0"/>
                <w:sz w:val="24"/>
                <w:szCs w:val="24"/>
              </w:rPr>
            </w:pPr>
            <w:r w:rsidRPr="00A43D45">
              <w:rPr>
                <w:rFonts w:cs="Times New Roman" w:hint="eastAsia"/>
                <w:color w:val="000000" w:themeColor="text1"/>
                <w:kern w:val="0"/>
                <w:sz w:val="21"/>
                <w:szCs w:val="21"/>
              </w:rPr>
              <w:t>231</w:t>
            </w:r>
          </w:p>
        </w:tc>
        <w:tc>
          <w:tcPr>
            <w:tcW w:w="736" w:type="pct"/>
            <w:vAlign w:val="center"/>
          </w:tcPr>
          <w:p w14:paraId="6C34A26A"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p>
        </w:tc>
        <w:tc>
          <w:tcPr>
            <w:tcW w:w="372" w:type="pct"/>
            <w:vAlign w:val="center"/>
          </w:tcPr>
          <w:p w14:paraId="3A47B7C4"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p>
        </w:tc>
        <w:tc>
          <w:tcPr>
            <w:tcW w:w="368" w:type="pct"/>
            <w:vAlign w:val="center"/>
          </w:tcPr>
          <w:p w14:paraId="6C61AC66" w14:textId="77777777" w:rsidR="000D6924" w:rsidRPr="00A3388E" w:rsidRDefault="000D6924" w:rsidP="000D6924">
            <w:pPr>
              <w:widowControl/>
              <w:spacing w:line="240" w:lineRule="auto"/>
              <w:jc w:val="center"/>
              <w:rPr>
                <w:rFonts w:ascii="宋体" w:hAnsi="宋体" w:cs="Times New Roman"/>
                <w:color w:val="000000" w:themeColor="text1"/>
                <w:kern w:val="0"/>
                <w:sz w:val="24"/>
                <w:szCs w:val="24"/>
              </w:rPr>
            </w:pPr>
          </w:p>
        </w:tc>
      </w:tr>
    </w:tbl>
    <w:p w14:paraId="7B7BBBCF" w14:textId="77777777" w:rsidR="00A3388E" w:rsidRDefault="00A3388E" w:rsidP="00A3388E"/>
    <w:sectPr w:rsidR="00A3388E" w:rsidSect="007410C8">
      <w:pgSz w:w="16838" w:h="11906" w:orient="landscape"/>
      <w:pgMar w:top="1800" w:right="1440" w:bottom="1800"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8198" w14:textId="77777777" w:rsidR="007410C8" w:rsidRDefault="007410C8" w:rsidP="00A3388E">
      <w:pPr>
        <w:spacing w:line="240" w:lineRule="auto"/>
      </w:pPr>
      <w:r>
        <w:separator/>
      </w:r>
    </w:p>
  </w:endnote>
  <w:endnote w:type="continuationSeparator" w:id="0">
    <w:p w14:paraId="593DA567" w14:textId="77777777" w:rsidR="007410C8" w:rsidRDefault="007410C8" w:rsidP="00A33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548E6" w14:textId="77777777" w:rsidR="007410C8" w:rsidRDefault="007410C8" w:rsidP="00A3388E">
      <w:pPr>
        <w:spacing w:line="240" w:lineRule="auto"/>
      </w:pPr>
      <w:r>
        <w:separator/>
      </w:r>
    </w:p>
  </w:footnote>
  <w:footnote w:type="continuationSeparator" w:id="0">
    <w:p w14:paraId="43D8A5D5" w14:textId="77777777" w:rsidR="007410C8" w:rsidRDefault="007410C8" w:rsidP="00A338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11"/>
    <w:rsid w:val="000678C6"/>
    <w:rsid w:val="000D6924"/>
    <w:rsid w:val="003E1194"/>
    <w:rsid w:val="0047533E"/>
    <w:rsid w:val="00645E36"/>
    <w:rsid w:val="006A1B11"/>
    <w:rsid w:val="007410C8"/>
    <w:rsid w:val="00792C59"/>
    <w:rsid w:val="008A31CC"/>
    <w:rsid w:val="00A3388E"/>
    <w:rsid w:val="00B8150A"/>
    <w:rsid w:val="00D666BF"/>
    <w:rsid w:val="00D8027E"/>
    <w:rsid w:val="00E652CF"/>
    <w:rsid w:val="00F15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66130"/>
  <w15:chartTrackingRefBased/>
  <w15:docId w15:val="{9E9487EF-B471-46DD-8254-04C6FF4F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88E"/>
    <w:pPr>
      <w:widowControl w:val="0"/>
      <w:spacing w:line="360" w:lineRule="auto"/>
      <w:jc w:val="both"/>
    </w:pPr>
    <w:rPr>
      <w:rFonts w:ascii="Times New Roman" w:eastAsia="宋体" w:hAnsi="Times New Roman"/>
      <w:sz w:val="28"/>
    </w:rPr>
  </w:style>
  <w:style w:type="paragraph" w:styleId="2">
    <w:name w:val="heading 2"/>
    <w:basedOn w:val="a"/>
    <w:next w:val="a"/>
    <w:link w:val="20"/>
    <w:autoRedefine/>
    <w:uiPriority w:val="9"/>
    <w:unhideWhenUsed/>
    <w:qFormat/>
    <w:rsid w:val="00F151B1"/>
    <w:pPr>
      <w:keepNext/>
      <w:keepLines/>
      <w:spacing w:beforeLines="50" w:before="50" w:afterLines="50" w:after="50"/>
      <w:jc w:val="left"/>
      <w:outlineLvl w:val="1"/>
    </w:pPr>
    <w:rPr>
      <w:rFonts w:eastAsia="仿宋_GB2312"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头"/>
    <w:basedOn w:val="a4"/>
    <w:qFormat/>
    <w:rsid w:val="00D8027E"/>
    <w:pPr>
      <w:snapToGrid w:val="0"/>
      <w:ind w:left="0" w:firstLineChars="0" w:firstLine="0"/>
      <w:jc w:val="center"/>
    </w:pPr>
    <w:rPr>
      <w:rFonts w:ascii="Times New Roman" w:eastAsia="宋体" w:hAnsi="Times New Roman" w:cs="Times New Roman"/>
      <w:b/>
      <w:sz w:val="28"/>
      <w:szCs w:val="20"/>
    </w:rPr>
  </w:style>
  <w:style w:type="paragraph" w:styleId="a4">
    <w:name w:val="List"/>
    <w:basedOn w:val="a"/>
    <w:uiPriority w:val="99"/>
    <w:semiHidden/>
    <w:unhideWhenUsed/>
    <w:rsid w:val="00D8027E"/>
    <w:pPr>
      <w:spacing w:line="240" w:lineRule="auto"/>
      <w:ind w:left="200" w:hangingChars="200" w:hanging="200"/>
      <w:contextualSpacing/>
    </w:pPr>
    <w:rPr>
      <w:rFonts w:asciiTheme="minorHAnsi" w:eastAsiaTheme="minorEastAsia" w:hAnsiTheme="minorHAnsi"/>
      <w:sz w:val="21"/>
    </w:rPr>
  </w:style>
  <w:style w:type="character" w:customStyle="1" w:styleId="20">
    <w:name w:val="标题 2 字符"/>
    <w:basedOn w:val="a0"/>
    <w:link w:val="2"/>
    <w:uiPriority w:val="9"/>
    <w:rsid w:val="00F151B1"/>
    <w:rPr>
      <w:rFonts w:ascii="Times New Roman" w:eastAsia="仿宋_GB2312" w:hAnsi="Times New Roman" w:cstheme="majorBidi"/>
      <w:b/>
      <w:bCs/>
      <w:sz w:val="30"/>
      <w:szCs w:val="32"/>
    </w:rPr>
  </w:style>
  <w:style w:type="paragraph" w:styleId="a5">
    <w:name w:val="header"/>
    <w:basedOn w:val="a"/>
    <w:link w:val="a6"/>
    <w:uiPriority w:val="99"/>
    <w:unhideWhenUsed/>
    <w:rsid w:val="00A3388E"/>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a6">
    <w:name w:val="页眉 字符"/>
    <w:basedOn w:val="a0"/>
    <w:link w:val="a5"/>
    <w:uiPriority w:val="99"/>
    <w:rsid w:val="00A3388E"/>
    <w:rPr>
      <w:sz w:val="18"/>
      <w:szCs w:val="18"/>
    </w:rPr>
  </w:style>
  <w:style w:type="paragraph" w:styleId="a7">
    <w:name w:val="footer"/>
    <w:basedOn w:val="a"/>
    <w:link w:val="a8"/>
    <w:uiPriority w:val="99"/>
    <w:unhideWhenUsed/>
    <w:rsid w:val="00A3388E"/>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a8">
    <w:name w:val="页脚 字符"/>
    <w:basedOn w:val="a0"/>
    <w:link w:val="a7"/>
    <w:uiPriority w:val="99"/>
    <w:rsid w:val="00A3388E"/>
    <w:rPr>
      <w:sz w:val="18"/>
      <w:szCs w:val="18"/>
    </w:rPr>
  </w:style>
  <w:style w:type="paragraph" w:customStyle="1" w:styleId="1">
    <w:name w:val="正文缩进1"/>
    <w:basedOn w:val="a"/>
    <w:qFormat/>
    <w:rsid w:val="00A3388E"/>
    <w:pPr>
      <w:spacing w:line="240" w:lineRule="auto"/>
      <w:ind w:firstLineChars="200" w:firstLine="420"/>
    </w:pPr>
    <w:rPr>
      <w:rFonts w:ascii="Calibri" w:hAnsi="Calibri"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geofung lee</dc:creator>
  <cp:keywords/>
  <dc:description/>
  <cp:lastModifiedBy>geofung lee</cp:lastModifiedBy>
  <cp:revision>8</cp:revision>
  <dcterms:created xsi:type="dcterms:W3CDTF">2023-04-04T09:27:00Z</dcterms:created>
  <dcterms:modified xsi:type="dcterms:W3CDTF">2024-05-07T03:18:00Z</dcterms:modified>
</cp:coreProperties>
</file>