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  <w:r>
        <w:rPr>
          <w:rFonts w:hint="eastAsia" w:ascii="仿宋" w:hAnsi="仿宋" w:eastAsia="仿宋" w:cs="仿宋"/>
        </w:rPr>
        <w:t xml:space="preserve">               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cs="仿宋"/>
          <w:b/>
          <w:bCs/>
          <w:lang w:eastAsia="zh-CN"/>
        </w:rPr>
        <w:t>一</w:t>
      </w:r>
      <w:r>
        <w:rPr>
          <w:rFonts w:hint="eastAsia" w:ascii="仿宋" w:hAnsi="仿宋" w:eastAsia="仿宋" w:cs="仿宋"/>
          <w:b/>
          <w:bCs/>
        </w:rPr>
        <w:t>、餐饮食品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（一）抽检依据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2760-2014）、《食品中可能违法添加的非食用物质和易滥用的食品添加剂品种名单（第一批）》 (食品整治办〔2008〕3号)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val="en-US" w:eastAsia="zh-CN"/>
        </w:rPr>
        <w:t>、餐饮食品抽检项目包括苯甲酸及其钠盐(以苯甲酸计)、山梨酸及其钾盐(以山梨酸计)、脱氢乙酸及其钠盐(以脱氢乙酸计)、糖精钠(以糖精计)、防腐剂混合使用时各自用量占其最大使用量的比例之和。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D6E03AF"/>
    <w:rsid w:val="116A70E4"/>
    <w:rsid w:val="145474DB"/>
    <w:rsid w:val="16032257"/>
    <w:rsid w:val="1D8D6441"/>
    <w:rsid w:val="1E713055"/>
    <w:rsid w:val="1EEB3A34"/>
    <w:rsid w:val="2A077079"/>
    <w:rsid w:val="2EE90F23"/>
    <w:rsid w:val="38BA5BCA"/>
    <w:rsid w:val="3945532C"/>
    <w:rsid w:val="46E34754"/>
    <w:rsid w:val="4BA20BC9"/>
    <w:rsid w:val="4C312AFB"/>
    <w:rsid w:val="4EA4414E"/>
    <w:rsid w:val="5677734C"/>
    <w:rsid w:val="5D4A2957"/>
    <w:rsid w:val="63A91B58"/>
    <w:rsid w:val="69735983"/>
    <w:rsid w:val="713B4DB4"/>
    <w:rsid w:val="74F97F64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2023-06-08T01:54:55Z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