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86" w:rsidRDefault="00AE47E2" w:rsidP="00D8290C">
      <w:pPr>
        <w:autoSpaceDE w:val="0"/>
        <w:autoSpaceDN w:val="0"/>
        <w:adjustRightInd w:val="0"/>
        <w:spacing w:afterLines="100" w:after="312" w:line="600" w:lineRule="exact"/>
        <w:jc w:val="left"/>
        <w:rPr>
          <w:rFonts w:ascii="方正小标宋简体" w:eastAsia="方正小标宋简体" w:hAnsi="微软雅黑" w:cs="HiddenHorzOCR"/>
          <w:b/>
          <w:color w:val="323232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微软雅黑" w:cs="HiddenHorzOCR" w:hint="eastAsia"/>
          <w:b/>
          <w:color w:val="323232"/>
          <w:kern w:val="0"/>
          <w:sz w:val="32"/>
          <w:szCs w:val="32"/>
        </w:rPr>
        <w:t>附件：</w:t>
      </w:r>
    </w:p>
    <w:p w:rsidR="00310E86" w:rsidRDefault="00AE47E2" w:rsidP="00D8290C">
      <w:pPr>
        <w:autoSpaceDE w:val="0"/>
        <w:autoSpaceDN w:val="0"/>
        <w:adjustRightInd w:val="0"/>
        <w:spacing w:beforeLines="50" w:before="156" w:line="600" w:lineRule="exact"/>
        <w:jc w:val="center"/>
        <w:rPr>
          <w:rFonts w:ascii="方正小标宋简体" w:eastAsia="方正小标宋简体" w:hAnsi="微软雅黑" w:cs="HiddenHorzOCR"/>
          <w:b/>
          <w:color w:val="323232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关于新增江门站至台山（对开）公益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        </w:t>
      </w:r>
      <w:r>
        <w:rPr>
          <w:rFonts w:ascii="方正小标宋简体" w:eastAsia="方正小标宋简体" w:hAnsi="宋体" w:hint="eastAsia"/>
          <w:sz w:val="44"/>
          <w:szCs w:val="44"/>
        </w:rPr>
        <w:t>公交线路的方案</w:t>
      </w:r>
    </w:p>
    <w:p w:rsidR="00310E86" w:rsidRDefault="00310E86">
      <w:pPr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HiddenHorzOCR"/>
          <w:color w:val="323232"/>
          <w:kern w:val="0"/>
          <w:sz w:val="32"/>
          <w:szCs w:val="32"/>
        </w:rPr>
      </w:pP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23232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为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解决新会城区和</w:t>
      </w:r>
      <w:proofErr w:type="gramStart"/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罗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坑</w:t>
      </w:r>
      <w:proofErr w:type="gramEnd"/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镇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居民到台山公益的出行需求，加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强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新会与台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山的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联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系沟通，促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进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两地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经济发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展，</w:t>
      </w:r>
      <w:proofErr w:type="gramStart"/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发挥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珠西枢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纽</w:t>
      </w:r>
      <w:proofErr w:type="gramEnd"/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江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门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站的交通枢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纽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作用，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推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动发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展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绿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色、低碳出行，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现计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划增开江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门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站至台山公益的公交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线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路。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公益公交线路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具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体方案如下：</w:t>
      </w:r>
    </w:p>
    <w:p w:rsidR="00310E86" w:rsidRDefault="00AE47E2" w:rsidP="00D8290C">
      <w:pPr>
        <w:autoSpaceDE w:val="0"/>
        <w:autoSpaceDN w:val="0"/>
        <w:adjustRightInd w:val="0"/>
        <w:spacing w:beforeLines="50" w:before="156" w:line="600" w:lineRule="exact"/>
        <w:ind w:firstLineChars="200" w:firstLine="643"/>
        <w:jc w:val="left"/>
        <w:rPr>
          <w:rFonts w:ascii="黑体" w:eastAsia="黑体" w:hAnsi="黑体" w:cs="HiddenHorzOCR"/>
          <w:b/>
          <w:color w:val="323232"/>
          <w:kern w:val="0"/>
          <w:sz w:val="32"/>
          <w:szCs w:val="32"/>
        </w:rPr>
      </w:pPr>
      <w:r>
        <w:rPr>
          <w:rFonts w:ascii="黑体" w:eastAsia="黑体" w:hAnsi="黑体" w:cs="HiddenHorzOCR" w:hint="eastAsia"/>
          <w:b/>
          <w:color w:val="323232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线</w:t>
      </w:r>
      <w:r>
        <w:rPr>
          <w:rFonts w:ascii="黑体" w:eastAsia="黑体" w:hAnsi="黑体" w:cs="MS Mincho" w:hint="eastAsia"/>
          <w:b/>
          <w:color w:val="323232"/>
          <w:kern w:val="0"/>
          <w:sz w:val="32"/>
          <w:szCs w:val="32"/>
        </w:rPr>
        <w:t>路名称</w:t>
      </w:r>
      <w:r>
        <w:rPr>
          <w:rFonts w:ascii="黑体" w:eastAsia="黑体" w:hAnsi="黑体" w:cs="HiddenHorzOCR"/>
          <w:b/>
          <w:color w:val="323232"/>
          <w:kern w:val="0"/>
          <w:sz w:val="32"/>
          <w:szCs w:val="32"/>
        </w:rPr>
        <w:t xml:space="preserve"> 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23232"/>
          <w:kern w:val="0"/>
          <w:sz w:val="32"/>
          <w:szCs w:val="32"/>
        </w:rPr>
      </w:pPr>
      <w:r>
        <w:rPr>
          <w:rFonts w:ascii="仿宋" w:eastAsia="仿宋" w:hAnsi="仿宋" w:cs="HiddenHorzOCR"/>
          <w:color w:val="323232"/>
          <w:kern w:val="0"/>
          <w:sz w:val="32"/>
          <w:szCs w:val="32"/>
        </w:rPr>
        <w:t xml:space="preserve">202 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路（江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门</w:t>
      </w:r>
      <w:r>
        <w:rPr>
          <w:rFonts w:ascii="仿宋" w:eastAsia="仿宋" w:hAnsi="仿宋" w:cs="MS Mincho" w:hint="eastAsia"/>
          <w:color w:val="323232"/>
          <w:kern w:val="0"/>
          <w:sz w:val="32"/>
          <w:szCs w:val="32"/>
        </w:rPr>
        <w:t>站——台山公益）</w:t>
      </w:r>
    </w:p>
    <w:p w:rsidR="00310E86" w:rsidRDefault="00AE47E2" w:rsidP="00D8290C">
      <w:pPr>
        <w:autoSpaceDE w:val="0"/>
        <w:autoSpaceDN w:val="0"/>
        <w:adjustRightInd w:val="0"/>
        <w:spacing w:beforeLines="50" w:before="156" w:line="600" w:lineRule="exact"/>
        <w:ind w:firstLineChars="200" w:firstLine="643"/>
        <w:jc w:val="left"/>
        <w:rPr>
          <w:rFonts w:ascii="黑体" w:eastAsia="黑体" w:hAnsi="黑体" w:cs="HiddenHorzOCR"/>
          <w:b/>
          <w:color w:val="323232"/>
          <w:kern w:val="0"/>
          <w:sz w:val="32"/>
          <w:szCs w:val="32"/>
        </w:rPr>
      </w:pPr>
      <w:r>
        <w:rPr>
          <w:rFonts w:ascii="黑体" w:eastAsia="黑体" w:hAnsi="黑体" w:cs="HiddenHorzOCR" w:hint="eastAsia"/>
          <w:b/>
          <w:color w:val="323232"/>
          <w:kern w:val="0"/>
          <w:sz w:val="32"/>
          <w:szCs w:val="32"/>
        </w:rPr>
        <w:t>二、运行时问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23232"/>
          <w:kern w:val="0"/>
          <w:sz w:val="32"/>
          <w:szCs w:val="32"/>
        </w:rPr>
      </w:pP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江门站发：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 xml:space="preserve"> 7:15 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 xml:space="preserve">12:45 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16:10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23232"/>
          <w:kern w:val="0"/>
          <w:sz w:val="32"/>
          <w:szCs w:val="32"/>
        </w:rPr>
      </w:pP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公益（大江中队）发：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 xml:space="preserve"> 9:05 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 xml:space="preserve">14:35 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18:00</w:t>
      </w:r>
    </w:p>
    <w:p w:rsidR="00310E86" w:rsidRDefault="00AE47E2" w:rsidP="00D8290C">
      <w:pPr>
        <w:autoSpaceDE w:val="0"/>
        <w:autoSpaceDN w:val="0"/>
        <w:adjustRightInd w:val="0"/>
        <w:spacing w:beforeLines="50" w:before="156" w:line="600" w:lineRule="exact"/>
        <w:ind w:firstLineChars="200" w:firstLine="643"/>
        <w:jc w:val="left"/>
        <w:rPr>
          <w:rFonts w:ascii="黑体" w:eastAsia="黑体" w:hAnsi="黑体" w:cs="HiddenHorzOCR"/>
          <w:b/>
          <w:color w:val="323232"/>
          <w:kern w:val="0"/>
          <w:sz w:val="32"/>
          <w:szCs w:val="32"/>
        </w:rPr>
      </w:pPr>
      <w:r>
        <w:rPr>
          <w:rFonts w:ascii="黑体" w:eastAsia="黑体" w:hAnsi="黑体" w:cs="HiddenHorzOCR" w:hint="eastAsia"/>
          <w:b/>
          <w:color w:val="323232"/>
          <w:kern w:val="0"/>
          <w:sz w:val="32"/>
          <w:szCs w:val="32"/>
        </w:rPr>
        <w:t>三、线路站点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23232"/>
          <w:kern w:val="0"/>
          <w:sz w:val="32"/>
          <w:szCs w:val="32"/>
        </w:rPr>
      </w:pP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江门站、站前广场、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今洲路东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南湖公园、美吉特广场、梅江、新会万达广场、名人广场、中心南（新会规划局）、信合大厦、龙昌路、振兴三路、新桥路、象山、城西车站（西门路）、石涧路口、金沙广场（农林）、梁家村油站、三联小学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群胜路口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、九龙、华兴工业园、梅冈、小冈路口、仓前、天台、大湾、潭冈、岭源（水边）、岭岗、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山咀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、公共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lastRenderedPageBreak/>
        <w:t>服务中心、陈冲、罗坑市场、罗坑加油站、井坑、文村、石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咀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（石场）、红楼、南联、下沙、道北寺、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洋美里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、桂林寺、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桥林里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、牛湾、牛湾市场、牛湾加油站、芦冲、牛皮厂、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罗坑六堡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麦巷村委会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、正大厂、上冲村、五星村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、傅诚纺织厂、龙兴里、达乐木叶、台山公益（大江中队）</w:t>
      </w:r>
    </w:p>
    <w:p w:rsidR="00310E86" w:rsidRDefault="00AE47E2" w:rsidP="00D8290C">
      <w:pPr>
        <w:autoSpaceDE w:val="0"/>
        <w:autoSpaceDN w:val="0"/>
        <w:adjustRightInd w:val="0"/>
        <w:spacing w:beforeLines="50" w:before="156" w:line="600" w:lineRule="exact"/>
        <w:ind w:firstLineChars="200" w:firstLine="643"/>
        <w:jc w:val="left"/>
        <w:rPr>
          <w:rFonts w:ascii="黑体" w:eastAsia="黑体" w:hAnsi="黑体" w:cs="HiddenHorzOCR"/>
          <w:b/>
          <w:color w:val="323232"/>
          <w:kern w:val="0"/>
          <w:sz w:val="32"/>
          <w:szCs w:val="32"/>
        </w:rPr>
      </w:pPr>
      <w:r>
        <w:rPr>
          <w:rFonts w:ascii="黑体" w:eastAsia="黑体" w:hAnsi="黑体" w:cs="HiddenHorzOCR" w:hint="eastAsia"/>
          <w:b/>
          <w:color w:val="323232"/>
          <w:kern w:val="0"/>
          <w:sz w:val="32"/>
          <w:szCs w:val="32"/>
        </w:rPr>
        <w:t>四、线路走向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" w:eastAsia="仿宋" w:hAnsi="仿宋" w:cs="HiddenHorzOCR"/>
          <w:color w:val="323232"/>
          <w:kern w:val="0"/>
          <w:sz w:val="32"/>
          <w:szCs w:val="32"/>
        </w:rPr>
      </w:pP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江门站——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今洲路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——中心南路——振兴三路——新桥路——城西一路——</w:t>
      </w:r>
      <w:proofErr w:type="gramStart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西门路</w:t>
      </w:r>
      <w:proofErr w:type="gramEnd"/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——冈州大道西——葵湖路——李锦记大道——南门路——双水大道北——香城大道——罗坑大道——迎宾东路——迎宾西路——青年文明路——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X539</w:t>
      </w:r>
      <w:r>
        <w:rPr>
          <w:rFonts w:ascii="仿宋" w:eastAsia="仿宋" w:hAnsi="仿宋" w:cs="HiddenHorzOCR" w:hint="eastAsia"/>
          <w:color w:val="323232"/>
          <w:kern w:val="0"/>
          <w:sz w:val="32"/>
          <w:szCs w:val="32"/>
        </w:rPr>
        <w:t>——台山公益</w:t>
      </w:r>
    </w:p>
    <w:p w:rsidR="00310E86" w:rsidRDefault="00AE47E2" w:rsidP="00D8290C">
      <w:pPr>
        <w:autoSpaceDE w:val="0"/>
        <w:autoSpaceDN w:val="0"/>
        <w:adjustRightInd w:val="0"/>
        <w:spacing w:beforeLines="50" w:before="156" w:line="600" w:lineRule="exact"/>
        <w:ind w:firstLineChars="200" w:firstLine="643"/>
        <w:jc w:val="left"/>
        <w:rPr>
          <w:rFonts w:ascii="黑体" w:eastAsia="黑体" w:hAnsi="黑体" w:cs="HiddenHorzOCR"/>
          <w:b/>
          <w:color w:val="323232"/>
          <w:kern w:val="0"/>
          <w:sz w:val="32"/>
          <w:szCs w:val="32"/>
        </w:rPr>
      </w:pPr>
      <w:r>
        <w:rPr>
          <w:rFonts w:ascii="黑体" w:eastAsia="黑体" w:hAnsi="黑体" w:cs="HiddenHorzOCR" w:hint="eastAsia"/>
          <w:b/>
          <w:color w:val="323232"/>
          <w:kern w:val="0"/>
          <w:sz w:val="32"/>
          <w:szCs w:val="32"/>
        </w:rPr>
        <w:t>五、线路长度及走向图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线</w:t>
      </w:r>
      <w:r>
        <w:rPr>
          <w:rFonts w:ascii="仿宋" w:eastAsia="仿宋" w:hAnsi="仿宋" w:cs="MS Mincho" w:hint="eastAsia"/>
          <w:color w:val="333333"/>
          <w:kern w:val="0"/>
          <w:sz w:val="32"/>
          <w:szCs w:val="32"/>
        </w:rPr>
        <w:t>路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</w:t>
      </w:r>
      <w:r>
        <w:rPr>
          <w:rFonts w:ascii="仿宋" w:eastAsia="仿宋" w:hAnsi="仿宋" w:cs="MS Mincho" w:hint="eastAsia"/>
          <w:color w:val="333333"/>
          <w:kern w:val="0"/>
          <w:sz w:val="32"/>
          <w:szCs w:val="32"/>
        </w:rPr>
        <w:t>程</w:t>
      </w:r>
      <w:r>
        <w:rPr>
          <w:rFonts w:ascii="仿宋" w:eastAsia="仿宋" w:hAnsi="仿宋" w:cs="HiddenHorzOCR"/>
          <w:color w:val="333333"/>
          <w:kern w:val="0"/>
          <w:sz w:val="32"/>
          <w:szCs w:val="32"/>
        </w:rPr>
        <w:t>42</w:t>
      </w:r>
      <w:r>
        <w:rPr>
          <w:rFonts w:ascii="仿宋" w:eastAsia="仿宋" w:hAnsi="仿宋" w:cs="HiddenHorzOCR"/>
          <w:color w:val="545455"/>
          <w:kern w:val="0"/>
          <w:sz w:val="32"/>
          <w:szCs w:val="32"/>
        </w:rPr>
        <w:t>.</w:t>
      </w:r>
      <w:r>
        <w:rPr>
          <w:rFonts w:ascii="仿宋" w:eastAsia="仿宋" w:hAnsi="仿宋" w:cs="HiddenHorzOCR"/>
          <w:color w:val="333333"/>
          <w:kern w:val="0"/>
          <w:sz w:val="32"/>
          <w:szCs w:val="32"/>
        </w:rPr>
        <w:t>5</w:t>
      </w:r>
      <w:r>
        <w:rPr>
          <w:rFonts w:ascii="仿宋" w:eastAsia="仿宋" w:hAnsi="仿宋" w:cs="HiddenHorzOCR" w:hint="eastAsia"/>
          <w:color w:val="333333"/>
          <w:kern w:val="0"/>
          <w:sz w:val="32"/>
          <w:szCs w:val="32"/>
        </w:rPr>
        <w:t>公里。</w:t>
      </w:r>
    </w:p>
    <w:p w:rsidR="00310E86" w:rsidRDefault="00AE47E2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33333"/>
          <w:kern w:val="0"/>
          <w:sz w:val="32"/>
          <w:szCs w:val="32"/>
        </w:rPr>
      </w:pPr>
      <w:r>
        <w:rPr>
          <w:rFonts w:ascii="仿宋" w:eastAsia="仿宋" w:hAnsi="仿宋" w:cs="HiddenHorzOCR" w:hint="eastAsia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62149</wp:posOffset>
            </wp:positionV>
            <wp:extent cx="4808929" cy="3560038"/>
            <wp:effectExtent l="19050" t="0" r="0" b="0"/>
            <wp:wrapNone/>
            <wp:docPr id="2" name="图片 2" descr="D:\个人文件\桌面\关于新增江门站至台山公益公交线路的申请（2022-A-8514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个人文件\桌面\关于新增江门站至台山公益公交线路的申请（2022-A-8514）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376" t="26475" r="14336" b="35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524" cy="356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E86" w:rsidRDefault="00310E8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33333"/>
          <w:kern w:val="0"/>
          <w:sz w:val="32"/>
          <w:szCs w:val="32"/>
        </w:rPr>
      </w:pPr>
    </w:p>
    <w:p w:rsidR="00310E86" w:rsidRDefault="00310E8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33333"/>
          <w:kern w:val="0"/>
          <w:sz w:val="32"/>
          <w:szCs w:val="32"/>
        </w:rPr>
      </w:pPr>
    </w:p>
    <w:p w:rsidR="00310E86" w:rsidRDefault="00310E86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" w:eastAsia="仿宋" w:hAnsi="仿宋" w:cs="HiddenHorzOCR"/>
          <w:color w:val="333333"/>
          <w:kern w:val="0"/>
          <w:sz w:val="32"/>
          <w:szCs w:val="32"/>
        </w:rPr>
      </w:pPr>
    </w:p>
    <w:p w:rsidR="00310E86" w:rsidRDefault="00310E86" w:rsidP="00310E86">
      <w:pPr>
        <w:spacing w:afterLines="80" w:after="249" w:line="600" w:lineRule="exact"/>
        <w:jc w:val="center"/>
        <w:rPr>
          <w:rFonts w:ascii="仿宋" w:eastAsia="仿宋" w:hAnsi="仿宋"/>
          <w:sz w:val="15"/>
          <w:szCs w:val="32"/>
        </w:rPr>
      </w:pPr>
    </w:p>
    <w:sectPr w:rsidR="0031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E2" w:rsidRDefault="00AE47E2">
      <w:r>
        <w:separator/>
      </w:r>
    </w:p>
  </w:endnote>
  <w:endnote w:type="continuationSeparator" w:id="0">
    <w:p w:rsidR="00AE47E2" w:rsidRDefault="00AE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E2" w:rsidRDefault="00AE47E2">
      <w:r>
        <w:separator/>
      </w:r>
    </w:p>
  </w:footnote>
  <w:footnote w:type="continuationSeparator" w:id="0">
    <w:p w:rsidR="00AE47E2" w:rsidRDefault="00AE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E86"/>
    <w:rsid w:val="00310E86"/>
    <w:rsid w:val="00AE47E2"/>
    <w:rsid w:val="00D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43</cp:revision>
  <cp:lastPrinted>2022-08-22T02:02:00Z</cp:lastPrinted>
  <dcterms:created xsi:type="dcterms:W3CDTF">2020-03-26T03:18:00Z</dcterms:created>
  <dcterms:modified xsi:type="dcterms:W3CDTF">2023-01-05T07:36:00Z</dcterms:modified>
</cp:coreProperties>
</file>