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畜、禽产品》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1.番茄检验项目包括敌敌畏、毒死蜱、腐霉利、镉（以Cd计）、甲胺磷、甲拌磷、克百威、氯氟氰菊酯和高效氯氟氰菊酯、氯氰菊酯和高效氯氰菊酯、烯酰吗啉、溴氰菊酯、氧乐果、乙酰甲胺磷。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.淡水鱼检验项目包括恩诺沙星（以恩诺沙星与环丙沙星之和计）、呋喃唑酮代谢物、氟苯尼考（以氟苯尼考与氟苯尼考胺之和计）、磺胺类（总量）、孔雀石绿（孔雀石绿及其代谢物隐色孔雀石绿残留量之和）、氯霉素。</w:t>
      </w:r>
    </w:p>
    <w:p>
      <w:pPr>
        <w:ind w:firstLine="640" w:firstLineChars="200"/>
        <w:rPr>
          <w:rFonts w:hint="default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3.柑、橘检验项目包括2,4-滴和2,4-滴钠盐、苯醚甲环唑、吡虫啉、丙溴磷、丁硫克百威、毒死蜱、甲拌磷、克百威、氯氰菊酯、灭多威、三唑磷、水胺硫磷。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A01508"/>
    <w:rsid w:val="02B376FD"/>
    <w:rsid w:val="02CF5F0A"/>
    <w:rsid w:val="039827A5"/>
    <w:rsid w:val="04B2031B"/>
    <w:rsid w:val="07226A96"/>
    <w:rsid w:val="07C90A76"/>
    <w:rsid w:val="0814375A"/>
    <w:rsid w:val="0870765C"/>
    <w:rsid w:val="09E571EA"/>
    <w:rsid w:val="09FE2590"/>
    <w:rsid w:val="0A4746C7"/>
    <w:rsid w:val="0AC74AF0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137EF4"/>
    <w:rsid w:val="19C43D66"/>
    <w:rsid w:val="19C6365F"/>
    <w:rsid w:val="19F93D81"/>
    <w:rsid w:val="1ABC24F0"/>
    <w:rsid w:val="1C6E0802"/>
    <w:rsid w:val="1D9C3ABF"/>
    <w:rsid w:val="1E5C33DA"/>
    <w:rsid w:val="207E1E97"/>
    <w:rsid w:val="21D0190C"/>
    <w:rsid w:val="238957E0"/>
    <w:rsid w:val="247007A5"/>
    <w:rsid w:val="269F695F"/>
    <w:rsid w:val="27805CC0"/>
    <w:rsid w:val="27A709C8"/>
    <w:rsid w:val="27AA62A6"/>
    <w:rsid w:val="280D4394"/>
    <w:rsid w:val="2A0D5281"/>
    <w:rsid w:val="2A5F77C3"/>
    <w:rsid w:val="2ACF08AF"/>
    <w:rsid w:val="2AD4228D"/>
    <w:rsid w:val="2C823E14"/>
    <w:rsid w:val="2CEB6FF4"/>
    <w:rsid w:val="2EEA3C27"/>
    <w:rsid w:val="2FC362EA"/>
    <w:rsid w:val="308168E1"/>
    <w:rsid w:val="33B055F7"/>
    <w:rsid w:val="342D006C"/>
    <w:rsid w:val="34A319A0"/>
    <w:rsid w:val="34A93CEC"/>
    <w:rsid w:val="38750F84"/>
    <w:rsid w:val="39597D46"/>
    <w:rsid w:val="3B3D5C39"/>
    <w:rsid w:val="3C633D27"/>
    <w:rsid w:val="3DBE5031"/>
    <w:rsid w:val="3E873C12"/>
    <w:rsid w:val="3F45490B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E6C70E8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64D4A"/>
    <w:rsid w:val="57BF780B"/>
    <w:rsid w:val="57F50179"/>
    <w:rsid w:val="5849250C"/>
    <w:rsid w:val="59957E0D"/>
    <w:rsid w:val="5BBC682B"/>
    <w:rsid w:val="5C337DF4"/>
    <w:rsid w:val="5E88298D"/>
    <w:rsid w:val="5FA7491D"/>
    <w:rsid w:val="62622AB7"/>
    <w:rsid w:val="640362A2"/>
    <w:rsid w:val="6497343B"/>
    <w:rsid w:val="6513372C"/>
    <w:rsid w:val="660D70FB"/>
    <w:rsid w:val="661D5263"/>
    <w:rsid w:val="67AD1013"/>
    <w:rsid w:val="69932AAA"/>
    <w:rsid w:val="6A73349F"/>
    <w:rsid w:val="6A831EE0"/>
    <w:rsid w:val="6A9A5FD7"/>
    <w:rsid w:val="6B9538B3"/>
    <w:rsid w:val="6D7F64FB"/>
    <w:rsid w:val="6D9F6603"/>
    <w:rsid w:val="6DC267FF"/>
    <w:rsid w:val="6F550E43"/>
    <w:rsid w:val="702B49C6"/>
    <w:rsid w:val="726D65C5"/>
    <w:rsid w:val="743D7479"/>
    <w:rsid w:val="746D67A7"/>
    <w:rsid w:val="775F4AC6"/>
    <w:rsid w:val="776A5D7B"/>
    <w:rsid w:val="780E5EC9"/>
    <w:rsid w:val="78570F4B"/>
    <w:rsid w:val="78AB5F05"/>
    <w:rsid w:val="7A9505CD"/>
    <w:rsid w:val="7CAB6A0F"/>
    <w:rsid w:val="7CF03456"/>
    <w:rsid w:val="7D652F20"/>
    <w:rsid w:val="7DAB101F"/>
    <w:rsid w:val="7DF2741E"/>
    <w:rsid w:val="7E3C2181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2022-12-12T03:18:30Z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672CC1392B4F478886B927DC69A0CF65</vt:lpwstr>
  </property>
</Properties>
</file>