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EE" w:rsidRDefault="003F2E0E">
      <w:pPr>
        <w:pStyle w:val="a7"/>
        <w:shd w:val="clear" w:color="auto" w:fill="FFFFFF"/>
        <w:spacing w:before="0" w:beforeAutospacing="0" w:after="0" w:afterAutospacing="0" w:line="560" w:lineRule="exact"/>
        <w:jc w:val="center"/>
        <w:rPr>
          <w:rStyle w:val="aa"/>
          <w:rFonts w:asciiTheme="majorEastAsia" w:eastAsiaTheme="majorEastAsia" w:hAnsiTheme="majorEastAsia" w:cstheme="majorEastAsia"/>
          <w:color w:val="000000" w:themeColor="text1"/>
          <w:sz w:val="44"/>
          <w:szCs w:val="44"/>
        </w:rPr>
      </w:pPr>
      <w:r>
        <w:rPr>
          <w:rStyle w:val="aa"/>
          <w:rFonts w:ascii="仿宋_GB2312" w:eastAsia="仿宋_GB2312" w:hAnsi="黑体" w:cstheme="majorEastAsia" w:hint="eastAsia"/>
          <w:color w:val="000000" w:themeColor="text1"/>
          <w:sz w:val="32"/>
          <w:szCs w:val="32"/>
        </w:rPr>
        <w:t xml:space="preserve"> </w:t>
      </w:r>
      <w:r>
        <w:rPr>
          <w:rStyle w:val="aa"/>
          <w:rFonts w:asciiTheme="majorEastAsia" w:eastAsiaTheme="majorEastAsia" w:hAnsiTheme="majorEastAsia" w:cstheme="majorEastAsia" w:hint="eastAsia"/>
          <w:color w:val="000000" w:themeColor="text1"/>
          <w:sz w:val="44"/>
          <w:szCs w:val="44"/>
        </w:rPr>
        <w:t>新会区农村生活污水处理设施运行维护</w:t>
      </w:r>
    </w:p>
    <w:p w:rsidR="003D04EE" w:rsidRDefault="003F2E0E">
      <w:pPr>
        <w:pStyle w:val="a7"/>
        <w:shd w:val="clear" w:color="auto" w:fill="FFFFFF"/>
        <w:spacing w:before="0" w:beforeAutospacing="0" w:after="0" w:afterAutospacing="0" w:line="560" w:lineRule="exact"/>
        <w:jc w:val="center"/>
        <w:rPr>
          <w:rStyle w:val="aa"/>
          <w:rFonts w:asciiTheme="majorEastAsia" w:eastAsiaTheme="majorEastAsia" w:hAnsiTheme="majorEastAsia" w:cstheme="majorEastAsia"/>
          <w:color w:val="000000" w:themeColor="text1"/>
          <w:sz w:val="44"/>
          <w:szCs w:val="44"/>
        </w:rPr>
      </w:pPr>
      <w:r>
        <w:rPr>
          <w:rStyle w:val="aa"/>
          <w:rFonts w:asciiTheme="majorEastAsia" w:eastAsiaTheme="majorEastAsia" w:hAnsiTheme="majorEastAsia" w:cstheme="majorEastAsia" w:hint="eastAsia"/>
          <w:color w:val="000000" w:themeColor="text1"/>
          <w:sz w:val="44"/>
          <w:szCs w:val="44"/>
        </w:rPr>
        <w:t>管理办法</w:t>
      </w:r>
    </w:p>
    <w:p w:rsidR="003D04EE" w:rsidRDefault="004142A4">
      <w:pPr>
        <w:pStyle w:val="a7"/>
        <w:shd w:val="clear" w:color="auto" w:fill="FFFFFF"/>
        <w:spacing w:before="0" w:beforeAutospacing="0" w:after="0" w:afterAutospacing="0" w:line="560" w:lineRule="exact"/>
        <w:jc w:val="center"/>
        <w:rPr>
          <w:rFonts w:asciiTheme="majorEastAsia" w:eastAsiaTheme="majorEastAsia" w:hAnsiTheme="majorEastAsia" w:cstheme="majorEastAsia"/>
          <w:color w:val="000000" w:themeColor="text1"/>
          <w:sz w:val="44"/>
          <w:szCs w:val="44"/>
        </w:rPr>
      </w:pPr>
      <w:r>
        <w:rPr>
          <w:rStyle w:val="aa"/>
          <w:rFonts w:asciiTheme="majorEastAsia" w:eastAsiaTheme="majorEastAsia" w:hAnsiTheme="majorEastAsia" w:cstheme="majorEastAsia" w:hint="eastAsia"/>
          <w:color w:val="000000" w:themeColor="text1"/>
          <w:sz w:val="44"/>
          <w:szCs w:val="44"/>
        </w:rPr>
        <w:t>（征求意见</w:t>
      </w:r>
      <w:r w:rsidR="003F2E0E">
        <w:rPr>
          <w:rStyle w:val="aa"/>
          <w:rFonts w:asciiTheme="majorEastAsia" w:eastAsiaTheme="majorEastAsia" w:hAnsiTheme="majorEastAsia" w:cstheme="majorEastAsia" w:hint="eastAsia"/>
          <w:color w:val="000000" w:themeColor="text1"/>
          <w:sz w:val="44"/>
          <w:szCs w:val="44"/>
        </w:rPr>
        <w:t>稿）</w:t>
      </w:r>
    </w:p>
    <w:p w:rsidR="003D04EE" w:rsidRDefault="003F2E0E">
      <w:pPr>
        <w:pStyle w:val="a7"/>
        <w:shd w:val="clear" w:color="auto" w:fill="FFFFFF"/>
        <w:spacing w:before="0" w:beforeAutospacing="0" w:after="0" w:afterAutospacing="0"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p>
    <w:p w:rsidR="003D04EE" w:rsidRDefault="003F2E0E">
      <w:pPr>
        <w:pStyle w:val="af"/>
        <w:numPr>
          <w:ilvl w:val="0"/>
          <w:numId w:val="1"/>
        </w:numPr>
        <w:spacing w:line="560" w:lineRule="exact"/>
        <w:ind w:firstLineChars="0"/>
        <w:jc w:val="center"/>
        <w:rPr>
          <w:rStyle w:val="aa"/>
          <w:rFonts w:ascii="黑体" w:eastAsia="黑体" w:hAnsi="黑体" w:cstheme="majorEastAsia"/>
          <w:b w:val="0"/>
          <w:color w:val="000000" w:themeColor="text1"/>
          <w:sz w:val="32"/>
          <w:szCs w:val="32"/>
        </w:rPr>
      </w:pPr>
      <w:r>
        <w:rPr>
          <w:rStyle w:val="aa"/>
          <w:rFonts w:ascii="黑体" w:eastAsia="黑体" w:hAnsi="黑体" w:cstheme="majorEastAsia" w:hint="eastAsia"/>
          <w:b w:val="0"/>
          <w:color w:val="000000" w:themeColor="text1"/>
          <w:sz w:val="32"/>
          <w:szCs w:val="32"/>
        </w:rPr>
        <w:t>总则</w:t>
      </w:r>
      <w:bookmarkStart w:id="0" w:name="_GoBack"/>
      <w:bookmarkEnd w:id="0"/>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第一条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为规范我区农村生活污水处理设施运行维护管理，加强监管考核，确保农污设施安全、稳定、高效运行，达标排放，根据《广东省环境保护条例》、《广东省农村生活污水处理排放标准》等法律法规，结合我区实际，特制定本办法。</w:t>
      </w:r>
    </w:p>
    <w:p w:rsidR="003D04EE" w:rsidRDefault="003F2E0E">
      <w:pPr>
        <w:pStyle w:val="a7"/>
        <w:shd w:val="clear" w:color="auto" w:fill="FFFFFF"/>
        <w:spacing w:before="0" w:beforeAutospacing="0" w:after="0" w:afterAutospacing="0" w:line="560" w:lineRule="exact"/>
        <w:ind w:firstLine="645"/>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本办法适用于新会区行政区域内由政府建设和管理（含村居建设但移交政府统一管理）的农村生活污水处理设施（含污水收集系统和处理系统）的运行维护管理。</w:t>
      </w:r>
    </w:p>
    <w:p w:rsidR="003D04EE" w:rsidRDefault="003F2E0E">
      <w:pPr>
        <w:pStyle w:val="a7"/>
        <w:shd w:val="clear" w:color="auto" w:fill="FFFFFF"/>
        <w:spacing w:before="0" w:beforeAutospacing="0" w:after="0" w:afterAutospacing="0" w:line="560" w:lineRule="exact"/>
        <w:ind w:firstLine="645"/>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农村生活污水处理设施的运行维护管理应当遵循“政府主导、群众参与，条块结合、属地为主，因地制宜、注重实效”的原则，实现“设施完好、管理规范、水质达标”的目标。</w:t>
      </w:r>
    </w:p>
    <w:p w:rsidR="003D04EE" w:rsidRDefault="003D04EE">
      <w:pPr>
        <w:pStyle w:val="a7"/>
        <w:shd w:val="clear" w:color="auto" w:fill="FFFFFF"/>
        <w:spacing w:before="0" w:beforeAutospacing="0" w:after="0" w:afterAutospacing="0" w:line="560" w:lineRule="exact"/>
        <w:ind w:firstLine="645"/>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第二章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术语定义</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农村生活污水是指农村居民生活活动所产生的污水，主要包括冲厕、洗涤、洗浴和厨房排水，不包括工业废水。</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第五条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对农村生活污水进行收集处理的构筑物或设备，包括污水处理构筑物（设备）、配套管网和辅助设施。</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第六条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农村污水收集管网</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收集输送农村生活污水管渠及其附属设施组成的整体。农村生活污水管渠是指收集输送农村生活污水的管道（污水管、合流管），渠箱，明渠，涵洞，边沟及排水井（雨水井、污水井、合流井）、拍门、阀门等。</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第七条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预处理设施</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指为满足工程总体要求，根据后续处理流程对水质要求而设置的处理单元，主要有格栅、沉砂池、集水井等。</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第八条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厌氧池</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指非充氧池（区），溶解氧浓度一般小于</w:t>
      </w:r>
      <w:r>
        <w:rPr>
          <w:rFonts w:ascii="仿宋" w:eastAsia="仿宋" w:hAnsi="仿宋" w:cs="仿宋_GB2312" w:hint="eastAsia"/>
          <w:color w:val="000000" w:themeColor="text1"/>
          <w:sz w:val="32"/>
          <w:szCs w:val="32"/>
        </w:rPr>
        <w:t>0.2mg/L</w:t>
      </w:r>
      <w:r>
        <w:rPr>
          <w:rFonts w:ascii="仿宋" w:eastAsia="仿宋" w:hAnsi="仿宋" w:cs="仿宋_GB2312" w:hint="eastAsia"/>
          <w:color w:val="000000" w:themeColor="text1"/>
          <w:sz w:val="32"/>
          <w:szCs w:val="32"/>
        </w:rPr>
        <w:t>，主要功能是利用厌氧微生物处理污水。</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第九条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膜生物反应器</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以膜为载体，把生物反应（作用）和分离相结合，能改变反应进程和提高反应效率的设备。</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生物接触氧化池</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指一种好氧生物膜污水处理方法，该系统由浸没于污水中的填料、填料表面的生物膜、曝气系统和池体构成，采用好氧生物膜法处理污水。在有氧条件下，污水与固着在填料表面的生物膜充分接触，通过生物降解作用去除污水中的有机物、营养盐等，使污水得到净化。</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第十一条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人工湿地</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用人工筑成水池或沟槽，底面铺设防渗漏隔水层，填充一定深度的基质层，种植水生植物，利用基质、植物、微生物的物理、化学、生物三重协同作用使污水得到净化。</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第十二条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稳定塘</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以塘为主要构筑物，主要依靠水域自然生态系统净化污水的处理设施</w:t>
      </w:r>
      <w:r>
        <w:rPr>
          <w:rFonts w:ascii="仿宋" w:eastAsia="仿宋" w:hAnsi="仿宋" w:cs="仿宋_GB2312" w:hint="eastAsia"/>
          <w:color w:val="000000" w:themeColor="text1"/>
          <w:sz w:val="32"/>
          <w:szCs w:val="32"/>
        </w:rPr>
        <w:t>。</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第十三条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生态沟渠</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由农田排水沟渠及其内部种植的植物组成，是一种湿地生态系统和水生廊道系统，通过沟渠拦截径流和泥沙，植物滞留和吸收氮、磷等，实现生态拦截氮、磷等的功能。</w:t>
      </w:r>
    </w:p>
    <w:p w:rsidR="003D04EE" w:rsidRDefault="003D04E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p>
    <w:p w:rsidR="003D04EE" w:rsidRDefault="003F2E0E">
      <w:pPr>
        <w:pStyle w:val="a7"/>
        <w:numPr>
          <w:ilvl w:val="0"/>
          <w:numId w:val="2"/>
        </w:numPr>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水污染物排放控制要求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第十四条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根据农村生活污水处理设施出水排放去向和处理规模，将处理能力</w:t>
      </w:r>
      <w:r>
        <w:rPr>
          <w:rFonts w:ascii="仿宋" w:eastAsia="仿宋" w:hAnsi="仿宋" w:cs="仿宋_GB2312" w:hint="eastAsia"/>
          <w:color w:val="000000" w:themeColor="text1"/>
          <w:sz w:val="32"/>
          <w:szCs w:val="32"/>
        </w:rPr>
        <w:t>500m</w:t>
      </w:r>
      <w:r>
        <w:rPr>
          <w:rFonts w:ascii="仿宋" w:eastAsia="仿宋" w:hAnsi="仿宋" w:cs="仿宋_GB2312" w:hint="eastAsia"/>
          <w:color w:val="000000" w:themeColor="text1"/>
          <w:sz w:val="32"/>
          <w:szCs w:val="32"/>
          <w:vertAlign w:val="superscript"/>
        </w:rPr>
        <w:t>3</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以下的农村生活污水处理设施水污染物排放标准分为一级标准、二级标准和三级标准。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第十五条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落实水质检测管理，农村污水处理设施排放口处应设置永久性排污口标志。运维单位应按照相关法律法规建立检测制度，对污染物排放状况开展自行监测，并保存原始监测记录，并对监测结果负责。监测指标及频次要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（一）处理能力</w:t>
      </w:r>
      <w:r>
        <w:rPr>
          <w:rFonts w:ascii="仿宋" w:eastAsia="仿宋" w:hAnsi="仿宋" w:cs="仿宋_GB2312" w:hint="eastAsia"/>
          <w:color w:val="000000" w:themeColor="text1"/>
          <w:sz w:val="32"/>
          <w:szCs w:val="32"/>
        </w:rPr>
        <w:t>500m</w:t>
      </w:r>
      <w:r>
        <w:rPr>
          <w:rFonts w:ascii="仿宋" w:eastAsia="仿宋" w:hAnsi="仿宋" w:cs="仿宋_GB2312" w:hint="eastAsia"/>
          <w:color w:val="000000" w:themeColor="text1"/>
          <w:sz w:val="32"/>
          <w:szCs w:val="32"/>
          <w:vertAlign w:val="superscript"/>
        </w:rPr>
        <w:t>3</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及以上规模的农村生活污水处理设施，出水排放执行表</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一级</w:t>
      </w:r>
      <w:r>
        <w:rPr>
          <w:rFonts w:ascii="仿宋" w:eastAsia="仿宋" w:hAnsi="仿宋" w:cs="仿宋_GB2312" w:hint="eastAsia"/>
          <w:color w:val="000000" w:themeColor="text1"/>
          <w:sz w:val="32"/>
          <w:szCs w:val="32"/>
        </w:rPr>
        <w:t>B</w:t>
      </w:r>
      <w:r>
        <w:rPr>
          <w:rFonts w:ascii="仿宋" w:eastAsia="仿宋" w:hAnsi="仿宋" w:cs="仿宋_GB2312" w:hint="eastAsia"/>
          <w:color w:val="000000" w:themeColor="text1"/>
          <w:sz w:val="32"/>
          <w:szCs w:val="32"/>
        </w:rPr>
        <w:t>标准或一级</w:t>
      </w:r>
      <w:r>
        <w:rPr>
          <w:rFonts w:ascii="仿宋" w:eastAsia="仿宋" w:hAnsi="仿宋" w:cs="仿宋_GB2312" w:hint="eastAsia"/>
          <w:color w:val="000000" w:themeColor="text1"/>
          <w:sz w:val="32"/>
          <w:szCs w:val="32"/>
        </w:rPr>
        <w:t>A</w:t>
      </w:r>
      <w:r>
        <w:rPr>
          <w:rFonts w:ascii="仿宋" w:eastAsia="仿宋" w:hAnsi="仿宋" w:cs="仿宋_GB2312" w:hint="eastAsia"/>
          <w:color w:val="000000" w:themeColor="text1"/>
          <w:sz w:val="32"/>
          <w:szCs w:val="32"/>
        </w:rPr>
        <w:t>标准（具体按照合同执行《城镇污水处理厂污染物排放标准》</w:t>
      </w:r>
      <w:r>
        <w:rPr>
          <w:rFonts w:ascii="仿宋" w:eastAsia="仿宋" w:hAnsi="仿宋" w:cs="仿宋_GB2312" w:hint="eastAsia"/>
          <w:color w:val="000000" w:themeColor="text1"/>
          <w:sz w:val="32"/>
          <w:szCs w:val="32"/>
        </w:rPr>
        <w:t>(GB18918</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2002)</w:t>
      </w:r>
      <w:r>
        <w:rPr>
          <w:rFonts w:ascii="仿宋" w:eastAsia="仿宋" w:hAnsi="仿宋" w:cs="仿宋_GB2312" w:hint="eastAsia"/>
          <w:color w:val="000000" w:themeColor="text1"/>
          <w:sz w:val="32"/>
          <w:szCs w:val="32"/>
        </w:rPr>
        <w:t>一级</w:t>
      </w:r>
      <w:r>
        <w:rPr>
          <w:rFonts w:ascii="仿宋" w:eastAsia="仿宋" w:hAnsi="仿宋" w:cs="仿宋_GB2312" w:hint="eastAsia"/>
          <w:color w:val="000000" w:themeColor="text1"/>
          <w:sz w:val="32"/>
          <w:szCs w:val="32"/>
        </w:rPr>
        <w:t>B</w:t>
      </w:r>
      <w:r>
        <w:rPr>
          <w:rFonts w:ascii="仿宋" w:eastAsia="仿宋" w:hAnsi="仿宋" w:cs="仿宋_GB2312" w:hint="eastAsia"/>
          <w:color w:val="000000" w:themeColor="text1"/>
          <w:sz w:val="32"/>
          <w:szCs w:val="32"/>
        </w:rPr>
        <w:t>标准），在末端排放口应设污水水量自动计量装置、自动比例采样装置，</w:t>
      </w:r>
      <w:r>
        <w:rPr>
          <w:rFonts w:ascii="仿宋" w:eastAsia="仿宋" w:hAnsi="仿宋" w:cs="仿宋_GB2312" w:hint="eastAsia"/>
          <w:color w:val="000000" w:themeColor="text1"/>
          <w:sz w:val="32"/>
          <w:szCs w:val="32"/>
        </w:rPr>
        <w:t>pH</w:t>
      </w:r>
      <w:r>
        <w:rPr>
          <w:rFonts w:ascii="仿宋" w:eastAsia="仿宋" w:hAnsi="仿宋" w:cs="仿宋_GB2312" w:hint="eastAsia"/>
          <w:color w:val="000000" w:themeColor="text1"/>
          <w:sz w:val="32"/>
          <w:szCs w:val="32"/>
        </w:rPr>
        <w:t>、水温、</w:t>
      </w:r>
      <w:r>
        <w:rPr>
          <w:rFonts w:ascii="仿宋" w:eastAsia="仿宋" w:hAnsi="仿宋" w:cs="仿宋_GB2312" w:hint="eastAsia"/>
          <w:color w:val="000000" w:themeColor="text1"/>
          <w:sz w:val="32"/>
          <w:szCs w:val="32"/>
        </w:rPr>
        <w:t>COD</w:t>
      </w:r>
      <w:r>
        <w:rPr>
          <w:rFonts w:ascii="仿宋" w:eastAsia="仿宋" w:hAnsi="仿宋" w:cs="仿宋_GB2312" w:hint="eastAsia"/>
          <w:color w:val="000000" w:themeColor="text1"/>
          <w:sz w:val="32"/>
          <w:szCs w:val="32"/>
        </w:rPr>
        <w:t>等主要水质指标</w:t>
      </w:r>
      <w:r>
        <w:rPr>
          <w:rFonts w:ascii="仿宋" w:eastAsia="仿宋" w:hAnsi="仿宋" w:cs="仿宋_GB2312" w:hint="eastAsia"/>
          <w:color w:val="000000" w:themeColor="text1"/>
          <w:sz w:val="32"/>
          <w:szCs w:val="32"/>
        </w:rPr>
        <w:lastRenderedPageBreak/>
        <w:t>应安装在线监测装置；监测频次为取</w:t>
      </w:r>
      <w:r>
        <w:rPr>
          <w:rFonts w:ascii="仿宋" w:eastAsia="仿宋" w:hAnsi="仿宋" w:cs="仿宋_GB2312" w:hint="eastAsia"/>
          <w:color w:val="000000" w:themeColor="text1"/>
          <w:sz w:val="32"/>
          <w:szCs w:val="32"/>
        </w:rPr>
        <w:t>24h</w:t>
      </w:r>
      <w:r>
        <w:rPr>
          <w:rFonts w:ascii="仿宋" w:eastAsia="仿宋" w:hAnsi="仿宋" w:cs="仿宋_GB2312" w:hint="eastAsia"/>
          <w:color w:val="000000" w:themeColor="text1"/>
          <w:sz w:val="32"/>
          <w:szCs w:val="32"/>
        </w:rPr>
        <w:t>混合样</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取样频率至少</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次</w:t>
      </w:r>
      <w:r>
        <w:rPr>
          <w:rFonts w:ascii="仿宋" w:eastAsia="仿宋" w:hAnsi="仿宋" w:cs="仿宋_GB2312" w:hint="eastAsia"/>
          <w:color w:val="000000" w:themeColor="text1"/>
          <w:sz w:val="32"/>
          <w:szCs w:val="32"/>
        </w:rPr>
        <w:t>/2h)</w:t>
      </w:r>
      <w:r>
        <w:rPr>
          <w:rFonts w:ascii="仿宋" w:eastAsia="仿宋" w:hAnsi="仿宋" w:cs="仿宋_GB2312" w:hint="eastAsia"/>
          <w:color w:val="000000" w:themeColor="text1"/>
          <w:sz w:val="32"/>
          <w:szCs w:val="32"/>
        </w:rPr>
        <w:t>，每日测日均值</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次；</w:t>
      </w:r>
    </w:p>
    <w:p w:rsidR="003D04EE" w:rsidRDefault="003F2E0E">
      <w:pPr>
        <w:pStyle w:val="a7"/>
        <w:shd w:val="clear" w:color="auto" w:fill="FFFFFF"/>
        <w:spacing w:before="0" w:beforeAutospacing="0" w:after="0" w:afterAutospacing="0" w:line="560" w:lineRule="exact"/>
        <w:ind w:firstLineChars="200" w:firstLine="480"/>
        <w:rPr>
          <w:rFonts w:ascii="仿宋" w:eastAsia="仿宋" w:hAnsi="仿宋" w:cs="仿宋_GB2312"/>
          <w:color w:val="000000" w:themeColor="text1"/>
          <w:sz w:val="32"/>
          <w:szCs w:val="32"/>
        </w:rPr>
      </w:pPr>
      <w:r>
        <w:rPr>
          <w:rFonts w:ascii="黑体" w:eastAsia="黑体" w:hAnsi="黑体" w:cs="黑体" w:hint="eastAsia"/>
          <w:color w:val="000000" w:themeColor="text1"/>
        </w:rPr>
        <w:t>注释：参考《关于加强江门市农村生活污水处理设施日常维护管理的通知》（江城管函〔</w:t>
      </w:r>
      <w:r>
        <w:rPr>
          <w:rFonts w:ascii="黑体" w:eastAsia="黑体" w:hAnsi="黑体" w:cs="黑体" w:hint="eastAsia"/>
          <w:color w:val="000000" w:themeColor="text1"/>
        </w:rPr>
        <w:t>2020</w:t>
      </w:r>
      <w:r>
        <w:rPr>
          <w:rFonts w:ascii="黑体" w:eastAsia="黑体" w:hAnsi="黑体" w:cs="黑体" w:hint="eastAsia"/>
          <w:color w:val="000000" w:themeColor="text1"/>
        </w:rPr>
        <w:t>〕</w:t>
      </w:r>
      <w:r>
        <w:rPr>
          <w:rFonts w:ascii="黑体" w:eastAsia="黑体" w:hAnsi="黑体" w:cs="黑体" w:hint="eastAsia"/>
          <w:color w:val="000000" w:themeColor="text1"/>
        </w:rPr>
        <w:t xml:space="preserve">288 </w:t>
      </w:r>
      <w:r>
        <w:rPr>
          <w:rFonts w:ascii="黑体" w:eastAsia="黑体" w:hAnsi="黑体" w:cs="黑体" w:hint="eastAsia"/>
          <w:color w:val="000000" w:themeColor="text1"/>
        </w:rPr>
        <w:t>号）第二章第（四）条第</w:t>
      </w:r>
      <w:r>
        <w:rPr>
          <w:rFonts w:ascii="黑体" w:eastAsia="黑体" w:hAnsi="黑体" w:cs="黑体" w:hint="eastAsia"/>
          <w:color w:val="000000" w:themeColor="text1"/>
        </w:rPr>
        <w:t>1</w:t>
      </w:r>
      <w:r>
        <w:rPr>
          <w:rFonts w:ascii="黑体" w:eastAsia="黑体" w:hAnsi="黑体" w:cs="黑体" w:hint="eastAsia"/>
          <w:color w:val="000000" w:themeColor="text1"/>
        </w:rPr>
        <w:t>点</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（二）处理能力</w:t>
      </w:r>
      <w:r>
        <w:rPr>
          <w:rFonts w:ascii="仿宋" w:eastAsia="仿宋" w:hAnsi="仿宋" w:cs="仿宋_GB2312" w:hint="eastAsia"/>
          <w:color w:val="000000" w:themeColor="text1"/>
          <w:sz w:val="32"/>
          <w:szCs w:val="32"/>
        </w:rPr>
        <w:t>20m</w:t>
      </w:r>
      <w:r>
        <w:rPr>
          <w:rFonts w:ascii="仿宋" w:eastAsia="仿宋" w:hAnsi="仿宋" w:cs="仿宋_GB2312" w:hint="eastAsia"/>
          <w:color w:val="000000" w:themeColor="text1"/>
          <w:sz w:val="36"/>
          <w:szCs w:val="36"/>
          <w:vertAlign w:val="superscript"/>
        </w:rPr>
        <w:t>3</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500m</w:t>
      </w:r>
      <w:r>
        <w:rPr>
          <w:rFonts w:ascii="仿宋" w:eastAsia="仿宋" w:hAnsi="仿宋" w:cs="仿宋_GB2312" w:hint="eastAsia"/>
          <w:color w:val="000000" w:themeColor="text1"/>
          <w:sz w:val="36"/>
          <w:szCs w:val="36"/>
          <w:vertAlign w:val="superscript"/>
        </w:rPr>
        <w:t>3</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（不含本数）的设施出水排入环境功能未明确的水体，执行表</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中的二级标准（《农村生活污水处理排放标准》（</w:t>
      </w:r>
      <w:r>
        <w:rPr>
          <w:rFonts w:ascii="仿宋" w:eastAsia="仿宋" w:hAnsi="仿宋" w:cs="仿宋_GB2312" w:hint="eastAsia"/>
          <w:color w:val="000000" w:themeColor="text1"/>
          <w:sz w:val="32"/>
          <w:szCs w:val="32"/>
        </w:rPr>
        <w:t>DB44/2208-2019</w:t>
      </w:r>
      <w:r>
        <w:rPr>
          <w:rFonts w:ascii="仿宋" w:eastAsia="仿宋" w:hAnsi="仿宋" w:cs="仿宋_GB2312" w:hint="eastAsia"/>
          <w:color w:val="000000" w:themeColor="text1"/>
          <w:sz w:val="32"/>
          <w:szCs w:val="32"/>
        </w:rPr>
        <w:t>）二级标准），监测频次不低于</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次</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月；</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（三）处理能力</w:t>
      </w:r>
      <w:r>
        <w:rPr>
          <w:rFonts w:ascii="仿宋" w:eastAsia="仿宋" w:hAnsi="仿宋" w:cs="仿宋_GB2312" w:hint="eastAsia"/>
          <w:color w:val="000000" w:themeColor="text1"/>
          <w:sz w:val="32"/>
          <w:szCs w:val="32"/>
        </w:rPr>
        <w:t>20m</w:t>
      </w:r>
      <w:r>
        <w:rPr>
          <w:rFonts w:ascii="仿宋" w:eastAsia="仿宋" w:hAnsi="仿宋" w:cs="仿宋_GB2312" w:hint="eastAsia"/>
          <w:color w:val="000000" w:themeColor="text1"/>
          <w:sz w:val="36"/>
          <w:szCs w:val="36"/>
          <w:vertAlign w:val="superscript"/>
        </w:rPr>
        <w:t>3</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以下的设施出水排入环境功能未明确的水体，执行表</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中的三级标准（《农村生活污水处理排放标准》（</w:t>
      </w:r>
      <w:r>
        <w:rPr>
          <w:rFonts w:ascii="仿宋" w:eastAsia="仿宋" w:hAnsi="仿宋" w:cs="仿宋_GB2312" w:hint="eastAsia"/>
          <w:color w:val="000000" w:themeColor="text1"/>
          <w:sz w:val="32"/>
          <w:szCs w:val="32"/>
        </w:rPr>
        <w:t>DB44/2208-2019</w:t>
      </w:r>
      <w:r>
        <w:rPr>
          <w:rFonts w:ascii="仿宋" w:eastAsia="仿宋" w:hAnsi="仿宋" w:cs="仿宋_GB2312" w:hint="eastAsia"/>
          <w:color w:val="000000" w:themeColor="text1"/>
          <w:sz w:val="32"/>
          <w:szCs w:val="32"/>
        </w:rPr>
        <w:t>）三级标准），监测频次不低于</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次</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季。</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第十六条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根据水生态环境管理的需要，位于水环境功能重要、水环境容量较小或者未达到水环境质量目标的地区的农村生活污水处理设施，执行表</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中的水污染物特别排放限值。执行水污染物特别排放限值的农村生活污水处理设施的规模、地域范围及时间按照法律法规或上位规定执行。</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第十七条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农村生活污水处理后用于农业灌溉、渔业或其他用途时，相关控制指标应满足国家或地方相应的水质标准。用于农田、林地、草地等施肥的，应符合施肥的相关标准和要求。</w:t>
      </w:r>
    </w:p>
    <w:p w:rsidR="003D04EE" w:rsidRDefault="003F2E0E">
      <w:pPr>
        <w:pStyle w:val="a7"/>
        <w:shd w:val="clear" w:color="auto" w:fill="FFFFFF"/>
        <w:spacing w:before="0" w:beforeAutospacing="0" w:after="0" w:afterAutospacing="0" w:line="560" w:lineRule="exact"/>
        <w:ind w:firstLineChars="200" w:firstLine="480"/>
        <w:rPr>
          <w:rFonts w:ascii="仿宋" w:eastAsia="仿宋" w:hAnsi="仿宋" w:cs="仿宋_GB2312"/>
          <w:color w:val="000000" w:themeColor="text1"/>
          <w:sz w:val="32"/>
          <w:szCs w:val="32"/>
        </w:rPr>
      </w:pPr>
      <w:r>
        <w:rPr>
          <w:rFonts w:ascii="黑体" w:eastAsia="黑体" w:hAnsi="黑体" w:cs="黑体" w:hint="eastAsia"/>
          <w:color w:val="000000" w:themeColor="text1"/>
        </w:rPr>
        <w:t>注释：参照《农村生活污水处理排放标准》</w:t>
      </w:r>
      <w:r>
        <w:rPr>
          <w:rFonts w:ascii="黑体" w:eastAsia="黑体" w:hAnsi="黑体" w:cs="黑体" w:hint="eastAsia"/>
          <w:color w:val="000000" w:themeColor="text1"/>
        </w:rPr>
        <w:t>5.4</w:t>
      </w:r>
      <w:r>
        <w:rPr>
          <w:rFonts w:ascii="黑体" w:eastAsia="黑体" w:hAnsi="黑体" w:cs="黑体" w:hint="eastAsia"/>
          <w:color w:val="000000" w:themeColor="text1"/>
        </w:rPr>
        <w:t>；</w:t>
      </w: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480" w:lineRule="atLeast"/>
        <w:ind w:firstLineChars="200" w:firstLine="640"/>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表</w:t>
      </w:r>
      <w:r>
        <w:rPr>
          <w:rFonts w:ascii="黑体" w:eastAsia="黑体" w:hAnsi="黑体" w:cs="仿宋_GB2312" w:hint="eastAsia"/>
          <w:color w:val="000000" w:themeColor="text1"/>
          <w:sz w:val="32"/>
          <w:szCs w:val="32"/>
        </w:rPr>
        <w:t xml:space="preserve">1  </w:t>
      </w:r>
      <w:r>
        <w:rPr>
          <w:rFonts w:ascii="黑体" w:eastAsia="黑体" w:hAnsi="黑体" w:cs="仿宋_GB2312" w:hint="eastAsia"/>
          <w:color w:val="000000" w:themeColor="text1"/>
          <w:sz w:val="32"/>
          <w:szCs w:val="32"/>
        </w:rPr>
        <w:t>水污染物排放限值</w:t>
      </w:r>
    </w:p>
    <w:p w:rsidR="003D04EE" w:rsidRDefault="003F2E0E">
      <w:pPr>
        <w:pStyle w:val="a7"/>
        <w:shd w:val="clear" w:color="auto" w:fill="FFFFFF"/>
        <w:spacing w:before="0" w:beforeAutospacing="0" w:after="0" w:afterAutospacing="0" w:line="480" w:lineRule="atLeast"/>
        <w:ind w:firstLineChars="200" w:firstLine="640"/>
        <w:jc w:val="right"/>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lastRenderedPageBreak/>
        <w:t>单位：</w:t>
      </w:r>
      <w:r>
        <w:rPr>
          <w:rFonts w:ascii="黑体" w:eastAsia="黑体" w:hAnsi="黑体" w:cs="仿宋_GB2312" w:hint="eastAsia"/>
          <w:color w:val="000000" w:themeColor="text1"/>
          <w:sz w:val="32"/>
          <w:szCs w:val="32"/>
        </w:rPr>
        <w:t>mg/L(pH</w:t>
      </w:r>
      <w:r>
        <w:rPr>
          <w:rFonts w:ascii="黑体" w:eastAsia="黑体" w:hAnsi="黑体" w:cs="仿宋_GB2312" w:hint="eastAsia"/>
          <w:color w:val="000000" w:themeColor="text1"/>
          <w:sz w:val="32"/>
          <w:szCs w:val="32"/>
        </w:rPr>
        <w:t>值除外</w:t>
      </w:r>
      <w:r>
        <w:rPr>
          <w:rFonts w:ascii="黑体" w:eastAsia="黑体" w:hAnsi="黑体" w:cs="仿宋_GB2312" w:hint="eastAsia"/>
          <w:color w:val="000000" w:themeColor="text1"/>
          <w:sz w:val="32"/>
          <w:szCs w:val="32"/>
        </w:rPr>
        <w:t>)</w:t>
      </w:r>
    </w:p>
    <w:tbl>
      <w:tblPr>
        <w:tblStyle w:val="a9"/>
        <w:tblW w:w="0" w:type="auto"/>
        <w:tblLook w:val="04A0" w:firstRow="1" w:lastRow="0" w:firstColumn="1" w:lastColumn="0" w:noHBand="0" w:noVBand="1"/>
      </w:tblPr>
      <w:tblGrid>
        <w:gridCol w:w="1704"/>
        <w:gridCol w:w="1704"/>
        <w:gridCol w:w="1704"/>
        <w:gridCol w:w="1705"/>
        <w:gridCol w:w="1705"/>
      </w:tblGrid>
      <w:tr w:rsidR="003D04EE">
        <w:tc>
          <w:tcPr>
            <w:tcW w:w="1704" w:type="dxa"/>
            <w:vMerge w:val="restart"/>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序号</w:t>
            </w:r>
          </w:p>
        </w:tc>
        <w:tc>
          <w:tcPr>
            <w:tcW w:w="1704" w:type="dxa"/>
            <w:vMerge w:val="restart"/>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控制项目名称</w:t>
            </w:r>
          </w:p>
        </w:tc>
        <w:tc>
          <w:tcPr>
            <w:tcW w:w="5114" w:type="dxa"/>
            <w:gridSpan w:val="3"/>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限值</w:t>
            </w:r>
          </w:p>
        </w:tc>
      </w:tr>
      <w:tr w:rsidR="003D04EE">
        <w:tc>
          <w:tcPr>
            <w:tcW w:w="1704" w:type="dxa"/>
            <w:vMerge/>
            <w:vAlign w:val="center"/>
          </w:tcPr>
          <w:p w:rsidR="003D04EE" w:rsidRDefault="003D04EE">
            <w:pPr>
              <w:pStyle w:val="a7"/>
              <w:shd w:val="clear" w:color="auto" w:fill="FFFFFF"/>
              <w:spacing w:before="0" w:beforeAutospacing="0" w:after="0" w:afterAutospacing="0" w:line="480" w:lineRule="atLeast"/>
              <w:ind w:firstLineChars="200" w:firstLine="480"/>
              <w:jc w:val="center"/>
              <w:rPr>
                <w:rFonts w:ascii="仿宋" w:eastAsia="仿宋" w:hAnsi="仿宋" w:cs="仿宋_GB2312"/>
                <w:color w:val="000000" w:themeColor="text1"/>
              </w:rPr>
            </w:pPr>
          </w:p>
        </w:tc>
        <w:tc>
          <w:tcPr>
            <w:tcW w:w="1704" w:type="dxa"/>
            <w:vMerge/>
            <w:vAlign w:val="center"/>
          </w:tcPr>
          <w:p w:rsidR="003D04EE" w:rsidRDefault="003D04EE">
            <w:pPr>
              <w:pStyle w:val="a7"/>
              <w:shd w:val="clear" w:color="auto" w:fill="FFFFFF"/>
              <w:spacing w:before="0" w:beforeAutospacing="0" w:after="0" w:afterAutospacing="0" w:line="480" w:lineRule="atLeast"/>
              <w:ind w:firstLineChars="200" w:firstLine="480"/>
              <w:jc w:val="center"/>
              <w:rPr>
                <w:rFonts w:ascii="仿宋" w:eastAsia="仿宋" w:hAnsi="仿宋" w:cs="仿宋_GB2312"/>
                <w:color w:val="000000" w:themeColor="text1"/>
              </w:rPr>
            </w:pP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一级标准</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二级标准</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三级标准</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PH</w:t>
            </w:r>
            <w:r>
              <w:rPr>
                <w:rFonts w:ascii="仿宋" w:eastAsia="仿宋" w:hAnsi="仿宋" w:cs="仿宋_GB2312" w:hint="eastAsia"/>
                <w:color w:val="000000" w:themeColor="text1"/>
              </w:rPr>
              <w:t>值（无量纲）</w:t>
            </w:r>
          </w:p>
        </w:tc>
        <w:tc>
          <w:tcPr>
            <w:tcW w:w="5114" w:type="dxa"/>
            <w:gridSpan w:val="3"/>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w:t>
            </w:r>
            <w:r>
              <w:rPr>
                <w:rFonts w:ascii="仿宋" w:eastAsia="仿宋" w:hAnsi="仿宋" w:cs="仿宋_GB2312" w:hint="eastAsia"/>
                <w:color w:val="000000" w:themeColor="text1"/>
              </w:rPr>
              <w:t>～</w:t>
            </w:r>
            <w:r>
              <w:rPr>
                <w:rFonts w:ascii="仿宋" w:eastAsia="仿宋" w:hAnsi="仿宋" w:cs="仿宋_GB2312" w:hint="eastAsia"/>
                <w:color w:val="000000" w:themeColor="text1"/>
              </w:rPr>
              <w:t>9</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悬浮物</w:t>
            </w: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20</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30</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50</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化学需氧量</w:t>
            </w: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60</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70</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100</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4</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氨氮</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1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①</w:t>
            </w:r>
            <w:r>
              <w:rPr>
                <w:rFonts w:ascii="仿宋" w:eastAsia="仿宋" w:hAnsi="仿宋" w:cs="仿宋_GB2312"/>
                <w:color w:val="000000" w:themeColor="text1"/>
              </w:rPr>
              <w:fldChar w:fldCharType="end"/>
            </w: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8(15)</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15</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25</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动植物油</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2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②</w:t>
            </w:r>
            <w:r>
              <w:rPr>
                <w:rFonts w:ascii="仿宋" w:eastAsia="仿宋" w:hAnsi="仿宋" w:cs="仿宋_GB2312"/>
                <w:color w:val="000000" w:themeColor="text1"/>
              </w:rPr>
              <w:fldChar w:fldCharType="end"/>
            </w: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3410" w:type="dxa"/>
            <w:gridSpan w:val="2"/>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总磷</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3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③</w:t>
            </w:r>
            <w:r>
              <w:rPr>
                <w:rFonts w:ascii="仿宋" w:eastAsia="仿宋" w:hAnsi="仿宋" w:cs="仿宋_GB2312"/>
                <w:color w:val="000000" w:themeColor="text1"/>
              </w:rPr>
              <w:fldChar w:fldCharType="end"/>
            </w: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w:t>
            </w:r>
          </w:p>
        </w:tc>
      </w:tr>
      <w:tr w:rsidR="003D04EE">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7</w:t>
            </w:r>
          </w:p>
        </w:tc>
        <w:tc>
          <w:tcPr>
            <w:tcW w:w="1704"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总氮</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4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④</w:t>
            </w:r>
            <w:r>
              <w:rPr>
                <w:rFonts w:ascii="仿宋" w:eastAsia="仿宋" w:hAnsi="仿宋" w:cs="仿宋_GB2312"/>
                <w:color w:val="000000" w:themeColor="text1"/>
              </w:rPr>
              <w:fldChar w:fldCharType="end"/>
            </w:r>
          </w:p>
        </w:tc>
        <w:tc>
          <w:tcPr>
            <w:tcW w:w="170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20</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w:t>
            </w:r>
          </w:p>
        </w:tc>
        <w:tc>
          <w:tcPr>
            <w:tcW w:w="1705"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w:t>
            </w:r>
          </w:p>
        </w:tc>
      </w:tr>
      <w:tr w:rsidR="003D04EE">
        <w:tc>
          <w:tcPr>
            <w:tcW w:w="8522" w:type="dxa"/>
            <w:gridSpan w:val="5"/>
          </w:tcPr>
          <w:p w:rsidR="003D04EE" w:rsidRDefault="003F2E0E">
            <w:pPr>
              <w:pStyle w:val="a7"/>
              <w:shd w:val="clear" w:color="auto" w:fill="FFFFFF"/>
              <w:spacing w:before="0" w:beforeAutospacing="0" w:after="0" w:afterAutospacing="0" w:line="480" w:lineRule="atLeast"/>
              <w:ind w:firstLineChars="200" w:firstLine="480"/>
              <w:rPr>
                <w:rFonts w:ascii="仿宋" w:eastAsia="仿宋" w:hAnsi="仿宋" w:cs="仿宋_GB2312"/>
                <w:color w:val="000000" w:themeColor="text1"/>
              </w:rPr>
            </w:pPr>
            <w:r>
              <w:rPr>
                <w:rFonts w:ascii="仿宋" w:eastAsia="仿宋" w:hAnsi="仿宋" w:cs="仿宋_GB2312" w:hint="eastAsia"/>
                <w:color w:val="000000" w:themeColor="text1"/>
              </w:rPr>
              <w:t>注：</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1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①</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氨氮指标括号内的数值为水温小于或等于</w:t>
            </w:r>
            <w:r>
              <w:rPr>
                <w:rFonts w:ascii="仿宋" w:eastAsia="仿宋" w:hAnsi="仿宋" w:cs="仿宋_GB2312" w:hint="eastAsia"/>
                <w:color w:val="000000" w:themeColor="text1"/>
              </w:rPr>
              <w:t>12</w:t>
            </w:r>
            <w:r>
              <w:rPr>
                <w:rFonts w:ascii="仿宋" w:eastAsia="仿宋" w:hAnsi="仿宋" w:cs="仿宋_GB2312" w:hint="eastAsia"/>
                <w:color w:val="000000" w:themeColor="text1"/>
              </w:rPr>
              <w:t>度的控制指标；</w:t>
            </w:r>
          </w:p>
          <w:p w:rsidR="003D04EE" w:rsidRDefault="003F2E0E">
            <w:pPr>
              <w:pStyle w:val="a7"/>
              <w:shd w:val="clear" w:color="auto" w:fill="FFFFFF"/>
              <w:spacing w:before="0" w:beforeAutospacing="0" w:after="0" w:afterAutospacing="0" w:line="480" w:lineRule="atLeast"/>
              <w:ind w:leftChars="450" w:left="1065" w:hangingChars="50" w:hanging="120"/>
              <w:rPr>
                <w:rFonts w:ascii="仿宋" w:eastAsia="仿宋" w:hAnsi="仿宋" w:cs="仿宋_GB2312"/>
                <w:color w:val="000000" w:themeColor="text1"/>
              </w:rPr>
            </w:pP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2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②</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动植物油指标仅针对含提供餐饮服务的农村旅游项目的生活污水处理设施执行；</w:t>
            </w:r>
          </w:p>
          <w:p w:rsidR="003D04EE" w:rsidRDefault="003F2E0E">
            <w:pPr>
              <w:pStyle w:val="a7"/>
              <w:shd w:val="clear" w:color="auto" w:fill="FFFFFF"/>
              <w:spacing w:before="0" w:beforeAutospacing="0" w:after="0" w:afterAutospacing="0" w:line="480" w:lineRule="atLeast"/>
              <w:ind w:leftChars="450" w:left="1185" w:hangingChars="100" w:hanging="240"/>
              <w:rPr>
                <w:rFonts w:ascii="仿宋" w:eastAsia="仿宋" w:hAnsi="仿宋" w:cs="仿宋_GB2312"/>
                <w:color w:val="000000" w:themeColor="text1"/>
              </w:rPr>
            </w:pP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3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③</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总磷指标仅针对出水排入封闭水体或总磷超标的水体的生活污水处理设施执行；</w:t>
            </w:r>
          </w:p>
          <w:p w:rsidR="003D04EE" w:rsidRDefault="003F2E0E">
            <w:pPr>
              <w:pStyle w:val="a7"/>
              <w:shd w:val="clear" w:color="auto" w:fill="FFFFFF"/>
              <w:spacing w:before="0" w:beforeAutospacing="0" w:after="0" w:afterAutospacing="0" w:line="480" w:lineRule="atLeast"/>
              <w:ind w:leftChars="450" w:left="1065" w:hangingChars="50" w:hanging="120"/>
              <w:rPr>
                <w:rFonts w:ascii="仿宋" w:eastAsia="仿宋" w:hAnsi="仿宋" w:cs="仿宋_GB2312"/>
                <w:color w:val="000000" w:themeColor="text1"/>
              </w:rPr>
            </w:pP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4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④</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总氮指标仅针对出水排入封闭水体或总氮超标的水体的生活污水处理设施执行。</w:t>
            </w:r>
          </w:p>
        </w:tc>
      </w:tr>
    </w:tbl>
    <w:p w:rsidR="003D04EE" w:rsidRDefault="003D04EE">
      <w:pPr>
        <w:pStyle w:val="a7"/>
        <w:shd w:val="clear" w:color="auto" w:fill="FFFFFF"/>
        <w:spacing w:before="0" w:beforeAutospacing="0" w:after="0" w:afterAutospacing="0" w:line="480" w:lineRule="atLeast"/>
        <w:ind w:firstLineChars="200" w:firstLine="480"/>
        <w:jc w:val="center"/>
        <w:rPr>
          <w:rFonts w:ascii="黑体" w:eastAsia="黑体" w:hAnsi="黑体" w:cs="黑体"/>
          <w:color w:val="000000" w:themeColor="text1"/>
        </w:rPr>
      </w:pPr>
    </w:p>
    <w:p w:rsidR="003D04EE" w:rsidRDefault="003D04EE">
      <w:pPr>
        <w:pStyle w:val="a7"/>
        <w:shd w:val="clear" w:color="auto" w:fill="FFFFFF"/>
        <w:spacing w:before="0" w:beforeAutospacing="0" w:after="0" w:afterAutospacing="0" w:line="480" w:lineRule="atLeast"/>
        <w:ind w:firstLineChars="200" w:firstLine="480"/>
        <w:jc w:val="center"/>
        <w:rPr>
          <w:rFonts w:ascii="黑体" w:eastAsia="黑体" w:hAnsi="黑体" w:cs="黑体"/>
          <w:color w:val="000000" w:themeColor="text1"/>
        </w:rPr>
      </w:pPr>
    </w:p>
    <w:p w:rsidR="003D04EE" w:rsidRDefault="003F2E0E">
      <w:pPr>
        <w:pStyle w:val="a7"/>
        <w:shd w:val="clear" w:color="auto" w:fill="FFFFFF"/>
        <w:spacing w:before="0" w:beforeAutospacing="0" w:after="0" w:afterAutospacing="0" w:line="480" w:lineRule="atLeast"/>
        <w:ind w:firstLineChars="200" w:firstLine="640"/>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表</w:t>
      </w:r>
      <w:r>
        <w:rPr>
          <w:rFonts w:ascii="黑体" w:eastAsia="黑体" w:hAnsi="黑体" w:cs="仿宋_GB2312" w:hint="eastAsia"/>
          <w:color w:val="000000" w:themeColor="text1"/>
          <w:sz w:val="32"/>
          <w:szCs w:val="32"/>
        </w:rPr>
        <w:t xml:space="preserve">2  </w:t>
      </w:r>
      <w:r>
        <w:rPr>
          <w:rFonts w:ascii="黑体" w:eastAsia="黑体" w:hAnsi="黑体" w:cs="仿宋_GB2312" w:hint="eastAsia"/>
          <w:color w:val="000000" w:themeColor="text1"/>
          <w:sz w:val="32"/>
          <w:szCs w:val="32"/>
        </w:rPr>
        <w:t>水污染物特别排放限值</w:t>
      </w:r>
    </w:p>
    <w:p w:rsidR="003D04EE" w:rsidRDefault="003F2E0E">
      <w:pPr>
        <w:pStyle w:val="a7"/>
        <w:shd w:val="clear" w:color="auto" w:fill="FFFFFF"/>
        <w:spacing w:before="0" w:beforeAutospacing="0" w:after="0" w:afterAutospacing="0" w:line="480" w:lineRule="atLeast"/>
        <w:ind w:firstLineChars="200" w:firstLine="640"/>
        <w:jc w:val="right"/>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单位：</w:t>
      </w:r>
      <w:r>
        <w:rPr>
          <w:rFonts w:ascii="黑体" w:eastAsia="黑体" w:hAnsi="黑体" w:cs="仿宋_GB2312" w:hint="eastAsia"/>
          <w:color w:val="000000" w:themeColor="text1"/>
          <w:sz w:val="32"/>
          <w:szCs w:val="32"/>
        </w:rPr>
        <w:t>mg/L(pH</w:t>
      </w:r>
      <w:r>
        <w:rPr>
          <w:rFonts w:ascii="黑体" w:eastAsia="黑体" w:hAnsi="黑体" w:cs="仿宋_GB2312" w:hint="eastAsia"/>
          <w:color w:val="000000" w:themeColor="text1"/>
          <w:sz w:val="32"/>
          <w:szCs w:val="32"/>
        </w:rPr>
        <w:t>值除外</w:t>
      </w:r>
      <w:r>
        <w:rPr>
          <w:rFonts w:ascii="黑体" w:eastAsia="黑体" w:hAnsi="黑体" w:cs="仿宋_GB2312" w:hint="eastAsia"/>
          <w:color w:val="000000" w:themeColor="text1"/>
          <w:sz w:val="32"/>
          <w:szCs w:val="32"/>
        </w:rPr>
        <w:t>)</w:t>
      </w:r>
    </w:p>
    <w:tbl>
      <w:tblPr>
        <w:tblStyle w:val="a9"/>
        <w:tblW w:w="0" w:type="auto"/>
        <w:tblLook w:val="04A0" w:firstRow="1" w:lastRow="0" w:firstColumn="1" w:lastColumn="0" w:noHBand="0" w:noVBand="1"/>
      </w:tblPr>
      <w:tblGrid>
        <w:gridCol w:w="2840"/>
        <w:gridCol w:w="2841"/>
        <w:gridCol w:w="2841"/>
      </w:tblGrid>
      <w:tr w:rsidR="003D04EE">
        <w:tc>
          <w:tcPr>
            <w:tcW w:w="2840" w:type="dxa"/>
          </w:tcPr>
          <w:p w:rsidR="003D04EE" w:rsidRDefault="003F2E0E">
            <w:pPr>
              <w:pStyle w:val="a7"/>
              <w:spacing w:before="0" w:beforeAutospacing="0" w:after="0" w:afterAutospacing="0" w:line="480" w:lineRule="atLeast"/>
              <w:jc w:val="center"/>
              <w:rPr>
                <w:rFonts w:ascii="黑体" w:eastAsia="黑体" w:hAnsi="黑体" w:cs="仿宋_GB2312"/>
                <w:color w:val="000000" w:themeColor="text1"/>
                <w:sz w:val="32"/>
                <w:szCs w:val="32"/>
              </w:rPr>
            </w:pPr>
            <w:r>
              <w:rPr>
                <w:rFonts w:ascii="仿宋" w:eastAsia="仿宋" w:hAnsi="仿宋" w:cs="仿宋_GB2312" w:hint="eastAsia"/>
                <w:color w:val="000000" w:themeColor="text1"/>
              </w:rPr>
              <w:t>序号</w:t>
            </w:r>
          </w:p>
        </w:tc>
        <w:tc>
          <w:tcPr>
            <w:tcW w:w="2841" w:type="dxa"/>
            <w:vAlign w:val="center"/>
          </w:tcPr>
          <w:p w:rsidR="003D04EE" w:rsidRDefault="003F2E0E">
            <w:pPr>
              <w:pStyle w:val="a7"/>
              <w:spacing w:before="0" w:beforeAutospacing="0" w:after="0" w:afterAutospacing="0" w:line="480" w:lineRule="atLeast"/>
              <w:jc w:val="center"/>
              <w:rPr>
                <w:rFonts w:ascii="黑体" w:eastAsia="黑体" w:hAnsi="黑体" w:cs="仿宋_GB2312"/>
                <w:color w:val="000000" w:themeColor="text1"/>
                <w:sz w:val="32"/>
                <w:szCs w:val="32"/>
              </w:rPr>
            </w:pPr>
            <w:r>
              <w:rPr>
                <w:rFonts w:ascii="仿宋" w:eastAsia="仿宋" w:hAnsi="仿宋" w:cs="仿宋_GB2312" w:hint="eastAsia"/>
                <w:color w:val="000000" w:themeColor="text1"/>
              </w:rPr>
              <w:t>控制项目名称</w:t>
            </w:r>
          </w:p>
        </w:tc>
        <w:tc>
          <w:tcPr>
            <w:tcW w:w="2841"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限值</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2841" w:type="dxa"/>
            <w:vAlign w:val="center"/>
          </w:tcPr>
          <w:p w:rsidR="003D04EE" w:rsidRDefault="003F2E0E">
            <w:pPr>
              <w:pStyle w:val="a7"/>
              <w:spacing w:before="0" w:beforeAutospacing="0" w:after="0" w:afterAutospacing="0" w:line="480" w:lineRule="atLeast"/>
              <w:jc w:val="both"/>
              <w:rPr>
                <w:rFonts w:ascii="黑体" w:eastAsia="黑体" w:hAnsi="黑体" w:cs="仿宋_GB2312"/>
                <w:color w:val="000000" w:themeColor="text1"/>
                <w:sz w:val="32"/>
                <w:szCs w:val="32"/>
              </w:rPr>
            </w:pPr>
            <w:r>
              <w:rPr>
                <w:rFonts w:ascii="仿宋" w:eastAsia="仿宋" w:hAnsi="仿宋" w:cs="仿宋_GB2312" w:hint="eastAsia"/>
                <w:color w:val="000000" w:themeColor="text1"/>
              </w:rPr>
              <w:t>PH</w:t>
            </w:r>
            <w:r>
              <w:rPr>
                <w:rFonts w:ascii="仿宋" w:eastAsia="仿宋" w:hAnsi="仿宋" w:cs="仿宋_GB2312" w:hint="eastAsia"/>
                <w:color w:val="000000" w:themeColor="text1"/>
              </w:rPr>
              <w:t>值（无量纲）</w:t>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仿宋" w:hAnsi="Times New Roman" w:cs="Times New Roman"/>
                <w:color w:val="000000" w:themeColor="text1"/>
              </w:rPr>
              <w:t>6</w:t>
            </w:r>
            <w:r>
              <w:rPr>
                <w:rFonts w:ascii="Times New Roman" w:eastAsia="仿宋" w:hAnsi="Times New Roman" w:cs="Times New Roman" w:hint="eastAsia"/>
                <w:color w:val="000000" w:themeColor="text1"/>
              </w:rPr>
              <w:t>～</w:t>
            </w:r>
            <w:r>
              <w:rPr>
                <w:rFonts w:ascii="Times New Roman" w:eastAsia="仿宋" w:hAnsi="Times New Roman" w:cs="Times New Roman"/>
                <w:color w:val="000000" w:themeColor="text1"/>
              </w:rPr>
              <w:t>9</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w:t>
            </w:r>
          </w:p>
        </w:tc>
        <w:tc>
          <w:tcPr>
            <w:tcW w:w="2841"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悬浮物</w:t>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rPr>
              <w:t>20</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2841"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化学需氧量</w:t>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rPr>
              <w:t>40</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4</w:t>
            </w:r>
          </w:p>
        </w:tc>
        <w:tc>
          <w:tcPr>
            <w:tcW w:w="2841"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氨氮</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1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①</w:t>
            </w:r>
            <w:r>
              <w:rPr>
                <w:rFonts w:ascii="仿宋" w:eastAsia="仿宋" w:hAnsi="仿宋" w:cs="仿宋_GB2312"/>
                <w:color w:val="000000" w:themeColor="text1"/>
              </w:rPr>
              <w:fldChar w:fldCharType="end"/>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rPr>
              <w:t>5(8)</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c>
          <w:tcPr>
            <w:tcW w:w="2841"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动植物油</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2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②</w:t>
            </w:r>
            <w:r>
              <w:rPr>
                <w:rFonts w:ascii="仿宋" w:eastAsia="仿宋" w:hAnsi="仿宋" w:cs="仿宋_GB2312"/>
                <w:color w:val="000000" w:themeColor="text1"/>
              </w:rPr>
              <w:fldChar w:fldCharType="end"/>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rPr>
              <w:t>1</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lastRenderedPageBreak/>
              <w:t>6</w:t>
            </w:r>
          </w:p>
        </w:tc>
        <w:tc>
          <w:tcPr>
            <w:tcW w:w="2841"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总磷</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3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③</w:t>
            </w:r>
            <w:r>
              <w:rPr>
                <w:rFonts w:ascii="仿宋" w:eastAsia="仿宋" w:hAnsi="仿宋" w:cs="仿宋_GB2312"/>
                <w:color w:val="000000" w:themeColor="text1"/>
              </w:rPr>
              <w:fldChar w:fldCharType="end"/>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rPr>
              <w:t>1</w:t>
            </w:r>
          </w:p>
        </w:tc>
      </w:tr>
      <w:tr w:rsidR="003D04EE">
        <w:tc>
          <w:tcPr>
            <w:tcW w:w="2840"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7</w:t>
            </w:r>
          </w:p>
        </w:tc>
        <w:tc>
          <w:tcPr>
            <w:tcW w:w="2841"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总氮</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4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④</w:t>
            </w:r>
            <w:r>
              <w:rPr>
                <w:rFonts w:ascii="仿宋" w:eastAsia="仿宋" w:hAnsi="仿宋" w:cs="仿宋_GB2312"/>
                <w:color w:val="000000" w:themeColor="text1"/>
              </w:rPr>
              <w:fldChar w:fldCharType="end"/>
            </w:r>
          </w:p>
        </w:tc>
        <w:tc>
          <w:tcPr>
            <w:tcW w:w="2841" w:type="dxa"/>
          </w:tcPr>
          <w:p w:rsidR="003D04EE" w:rsidRDefault="003F2E0E">
            <w:pPr>
              <w:pStyle w:val="a7"/>
              <w:spacing w:before="0" w:beforeAutospacing="0" w:after="0" w:afterAutospacing="0" w:line="480" w:lineRule="atLeas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rPr>
              <w:t>20</w:t>
            </w:r>
          </w:p>
        </w:tc>
      </w:tr>
      <w:tr w:rsidR="003D04EE">
        <w:tc>
          <w:tcPr>
            <w:tcW w:w="8522" w:type="dxa"/>
            <w:gridSpan w:val="3"/>
          </w:tcPr>
          <w:p w:rsidR="003D04EE" w:rsidRDefault="003F2E0E">
            <w:pPr>
              <w:pStyle w:val="a7"/>
              <w:shd w:val="clear" w:color="auto" w:fill="FFFFFF"/>
              <w:spacing w:before="0" w:beforeAutospacing="0" w:after="0" w:afterAutospacing="0" w:line="480" w:lineRule="atLeast"/>
              <w:ind w:firstLineChars="200" w:firstLine="480"/>
              <w:rPr>
                <w:rFonts w:ascii="仿宋" w:eastAsia="仿宋" w:hAnsi="仿宋" w:cs="仿宋_GB2312"/>
                <w:color w:val="000000" w:themeColor="text1"/>
              </w:rPr>
            </w:pPr>
            <w:r>
              <w:rPr>
                <w:rFonts w:ascii="仿宋" w:eastAsia="仿宋" w:hAnsi="仿宋" w:cs="仿宋_GB2312" w:hint="eastAsia"/>
                <w:color w:val="000000" w:themeColor="text1"/>
              </w:rPr>
              <w:t>注：</w:t>
            </w: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1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①</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氨氮指标括号内的数值为水温小于或等于</w:t>
            </w:r>
            <w:r>
              <w:rPr>
                <w:rFonts w:ascii="仿宋" w:eastAsia="仿宋" w:hAnsi="仿宋" w:cs="仿宋_GB2312" w:hint="eastAsia"/>
                <w:color w:val="000000" w:themeColor="text1"/>
              </w:rPr>
              <w:t>12</w:t>
            </w:r>
            <w:r>
              <w:rPr>
                <w:rFonts w:ascii="仿宋" w:eastAsia="仿宋" w:hAnsi="仿宋" w:cs="仿宋_GB2312" w:hint="eastAsia"/>
                <w:color w:val="000000" w:themeColor="text1"/>
              </w:rPr>
              <w:t>度的控制指标；</w:t>
            </w:r>
          </w:p>
          <w:p w:rsidR="003D04EE" w:rsidRDefault="003F2E0E">
            <w:pPr>
              <w:pStyle w:val="a7"/>
              <w:shd w:val="clear" w:color="auto" w:fill="FFFFFF"/>
              <w:spacing w:before="0" w:beforeAutospacing="0" w:after="0" w:afterAutospacing="0" w:line="480" w:lineRule="atLeast"/>
              <w:ind w:leftChars="450" w:left="1065" w:hangingChars="50" w:hanging="120"/>
              <w:rPr>
                <w:rFonts w:ascii="仿宋" w:eastAsia="仿宋" w:hAnsi="仿宋" w:cs="仿宋_GB2312"/>
                <w:color w:val="000000" w:themeColor="text1"/>
              </w:rPr>
            </w:pP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2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②</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动植物油指标仅针对含提供餐饮服务的农村旅游项目的生活污水处理设施执行；</w:t>
            </w:r>
          </w:p>
          <w:p w:rsidR="003D04EE" w:rsidRDefault="003F2E0E">
            <w:pPr>
              <w:pStyle w:val="a7"/>
              <w:spacing w:before="0" w:beforeAutospacing="0" w:after="0" w:afterAutospacing="0" w:line="480" w:lineRule="atLeast"/>
              <w:ind w:leftChars="450" w:left="1185" w:hangingChars="100" w:hanging="240"/>
              <w:rPr>
                <w:rFonts w:ascii="黑体" w:eastAsia="黑体" w:hAnsi="黑体" w:cs="仿宋_GB2312"/>
                <w:color w:val="000000" w:themeColor="text1"/>
                <w:sz w:val="32"/>
                <w:szCs w:val="32"/>
              </w:rPr>
            </w:pPr>
            <w:r>
              <w:rPr>
                <w:rFonts w:ascii="仿宋" w:eastAsia="仿宋" w:hAnsi="仿宋" w:cs="仿宋_GB2312"/>
                <w:color w:val="000000" w:themeColor="text1"/>
              </w:rPr>
              <w:fldChar w:fldCharType="begin"/>
            </w:r>
            <w:r>
              <w:rPr>
                <w:rFonts w:ascii="仿宋" w:eastAsia="仿宋" w:hAnsi="仿宋" w:cs="仿宋_GB2312" w:hint="eastAsia"/>
                <w:color w:val="000000" w:themeColor="text1"/>
              </w:rPr>
              <w:instrText>= 3 \* GB3</w:instrText>
            </w:r>
            <w:r>
              <w:rPr>
                <w:rFonts w:ascii="仿宋" w:eastAsia="仿宋" w:hAnsi="仿宋" w:cs="仿宋_GB2312"/>
                <w:color w:val="000000" w:themeColor="text1"/>
              </w:rPr>
              <w:fldChar w:fldCharType="separate"/>
            </w:r>
            <w:r>
              <w:rPr>
                <w:rFonts w:ascii="仿宋" w:eastAsia="仿宋" w:hAnsi="仿宋" w:cs="仿宋_GB2312" w:hint="eastAsia"/>
                <w:color w:val="000000" w:themeColor="text1"/>
              </w:rPr>
              <w:t>③</w:t>
            </w:r>
            <w:r>
              <w:rPr>
                <w:rFonts w:ascii="仿宋" w:eastAsia="仿宋" w:hAnsi="仿宋" w:cs="仿宋_GB2312"/>
                <w:color w:val="000000" w:themeColor="text1"/>
              </w:rPr>
              <w:fldChar w:fldCharType="end"/>
            </w:r>
            <w:r>
              <w:rPr>
                <w:rFonts w:ascii="仿宋" w:eastAsia="仿宋" w:hAnsi="仿宋" w:cs="仿宋_GB2312" w:hint="eastAsia"/>
                <w:color w:val="000000" w:themeColor="text1"/>
              </w:rPr>
              <w:t>根据水生态环境管理的需要，位于水环境功能重要、水环境容量较小或者未达到水环境质量目标的地区的农村生活污水处理设施，执行表中</w:t>
            </w:r>
            <w:r>
              <w:rPr>
                <w:rFonts w:ascii="仿宋" w:eastAsia="仿宋" w:hAnsi="仿宋" w:cs="仿宋_GB2312" w:hint="eastAsia"/>
                <w:color w:val="000000" w:themeColor="text1"/>
              </w:rPr>
              <w:t>2</w:t>
            </w:r>
            <w:r>
              <w:rPr>
                <w:rFonts w:ascii="仿宋" w:eastAsia="仿宋" w:hAnsi="仿宋" w:cs="仿宋_GB2312" w:hint="eastAsia"/>
                <w:color w:val="000000" w:themeColor="text1"/>
              </w:rPr>
              <w:t>的水污染物特别排放限值。</w:t>
            </w:r>
          </w:p>
        </w:tc>
      </w:tr>
    </w:tbl>
    <w:p w:rsidR="003D04EE" w:rsidRDefault="003D04EE">
      <w:pPr>
        <w:pStyle w:val="a7"/>
        <w:shd w:val="clear" w:color="auto" w:fill="FFFFFF"/>
        <w:spacing w:before="0" w:beforeAutospacing="0" w:after="0" w:afterAutospacing="0" w:line="480" w:lineRule="atLeast"/>
        <w:ind w:firstLineChars="200" w:firstLine="640"/>
        <w:jc w:val="center"/>
        <w:rPr>
          <w:rFonts w:ascii="黑体" w:eastAsia="黑体" w:hAnsi="黑体" w:cs="仿宋_GB2312"/>
          <w:color w:val="000000" w:themeColor="text1"/>
          <w:sz w:val="32"/>
          <w:szCs w:val="32"/>
        </w:rPr>
      </w:pPr>
    </w:p>
    <w:p w:rsidR="003D04EE" w:rsidRDefault="003F2E0E">
      <w:pPr>
        <w:pStyle w:val="a7"/>
        <w:shd w:val="clear" w:color="auto" w:fill="FFFFFF"/>
        <w:spacing w:before="0" w:beforeAutospacing="0" w:after="0" w:afterAutospacing="0" w:line="480" w:lineRule="atLeast"/>
        <w:ind w:firstLineChars="200" w:firstLine="640"/>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表</w:t>
      </w:r>
      <w:r>
        <w:rPr>
          <w:rFonts w:ascii="黑体" w:eastAsia="黑体" w:hAnsi="黑体" w:cs="仿宋_GB2312" w:hint="eastAsia"/>
          <w:color w:val="000000" w:themeColor="text1"/>
          <w:sz w:val="32"/>
          <w:szCs w:val="32"/>
        </w:rPr>
        <w:t xml:space="preserve">3  </w:t>
      </w:r>
      <w:r>
        <w:rPr>
          <w:rFonts w:ascii="黑体" w:eastAsia="黑体" w:hAnsi="黑体" w:cs="仿宋_GB2312" w:hint="eastAsia"/>
          <w:color w:val="000000" w:themeColor="text1"/>
          <w:sz w:val="32"/>
          <w:szCs w:val="32"/>
        </w:rPr>
        <w:t>水污染物特别排放限值</w:t>
      </w:r>
    </w:p>
    <w:p w:rsidR="003D04EE" w:rsidRDefault="003F2E0E">
      <w:pPr>
        <w:pStyle w:val="a7"/>
        <w:shd w:val="clear" w:color="auto" w:fill="FFFFFF"/>
        <w:spacing w:before="0" w:beforeAutospacing="0" w:after="0" w:afterAutospacing="0" w:line="480" w:lineRule="atLeast"/>
        <w:ind w:firstLineChars="200" w:firstLine="640"/>
        <w:jc w:val="right"/>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单位：</w:t>
      </w:r>
      <w:r>
        <w:rPr>
          <w:rFonts w:ascii="黑体" w:eastAsia="黑体" w:hAnsi="黑体" w:cs="仿宋_GB2312" w:hint="eastAsia"/>
          <w:color w:val="000000" w:themeColor="text1"/>
          <w:sz w:val="32"/>
          <w:szCs w:val="32"/>
        </w:rPr>
        <w:t>mg/L(</w:t>
      </w:r>
      <w:r>
        <w:rPr>
          <w:rFonts w:ascii="黑体" w:eastAsia="黑体" w:hAnsi="黑体" w:cs="仿宋_GB2312"/>
          <w:sz w:val="32"/>
          <w:szCs w:val="32"/>
        </w:rPr>
        <w:t>p</w:t>
      </w:r>
      <w:r>
        <w:rPr>
          <w:rFonts w:ascii="黑体" w:eastAsia="黑体" w:hAnsi="黑体" w:cs="仿宋_GB2312" w:hint="eastAsia"/>
          <w:sz w:val="32"/>
          <w:szCs w:val="32"/>
        </w:rPr>
        <w:t>H</w:t>
      </w:r>
      <w:r>
        <w:rPr>
          <w:rFonts w:ascii="黑体" w:eastAsia="黑体" w:hAnsi="黑体" w:cs="仿宋_GB2312" w:hint="eastAsia"/>
          <w:color w:val="000000" w:themeColor="text1"/>
          <w:sz w:val="32"/>
          <w:szCs w:val="32"/>
        </w:rPr>
        <w:t>值除外</w:t>
      </w:r>
      <w:r>
        <w:rPr>
          <w:rFonts w:ascii="黑体" w:eastAsia="黑体" w:hAnsi="黑体" w:cs="仿宋_GB2312" w:hint="eastAsia"/>
          <w:color w:val="000000" w:themeColor="text1"/>
          <w:sz w:val="32"/>
          <w:szCs w:val="32"/>
        </w:rPr>
        <w:t>)</w:t>
      </w:r>
    </w:p>
    <w:tbl>
      <w:tblPr>
        <w:tblStyle w:val="a9"/>
        <w:tblW w:w="0" w:type="auto"/>
        <w:tblLook w:val="04A0" w:firstRow="1" w:lastRow="0" w:firstColumn="1" w:lastColumn="0" w:noHBand="0" w:noVBand="1"/>
      </w:tblPr>
      <w:tblGrid>
        <w:gridCol w:w="1184"/>
        <w:gridCol w:w="1194"/>
        <w:gridCol w:w="2538"/>
        <w:gridCol w:w="848"/>
        <w:gridCol w:w="936"/>
        <w:gridCol w:w="936"/>
        <w:gridCol w:w="886"/>
      </w:tblGrid>
      <w:tr w:rsidR="003D04EE">
        <w:trPr>
          <w:trHeight w:val="240"/>
        </w:trPr>
        <w:tc>
          <w:tcPr>
            <w:tcW w:w="1184" w:type="dxa"/>
            <w:vMerge w:val="restart"/>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序号</w:t>
            </w:r>
          </w:p>
        </w:tc>
        <w:tc>
          <w:tcPr>
            <w:tcW w:w="3732" w:type="dxa"/>
            <w:gridSpan w:val="2"/>
            <w:vMerge w:val="restart"/>
            <w:vAlign w:val="center"/>
          </w:tcPr>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基本控制项目</w:t>
            </w:r>
          </w:p>
        </w:tc>
        <w:tc>
          <w:tcPr>
            <w:tcW w:w="1784" w:type="dxa"/>
            <w:gridSpan w:val="2"/>
            <w:vAlign w:val="center"/>
          </w:tcPr>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一级标准</w:t>
            </w:r>
          </w:p>
        </w:tc>
        <w:tc>
          <w:tcPr>
            <w:tcW w:w="936" w:type="dxa"/>
            <w:vMerge w:val="restart"/>
            <w:vAlign w:val="center"/>
          </w:tcPr>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二级</w:t>
            </w:r>
          </w:p>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标准</w:t>
            </w:r>
          </w:p>
        </w:tc>
        <w:tc>
          <w:tcPr>
            <w:tcW w:w="886" w:type="dxa"/>
            <w:vMerge w:val="restart"/>
            <w:vAlign w:val="center"/>
          </w:tcPr>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三级</w:t>
            </w:r>
          </w:p>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标准</w:t>
            </w:r>
          </w:p>
        </w:tc>
      </w:tr>
      <w:tr w:rsidR="003D04EE">
        <w:trPr>
          <w:trHeight w:val="240"/>
        </w:trPr>
        <w:tc>
          <w:tcPr>
            <w:tcW w:w="1184" w:type="dxa"/>
            <w:vMerge/>
          </w:tcPr>
          <w:p w:rsidR="003D04EE" w:rsidRDefault="003D04EE">
            <w:pPr>
              <w:pStyle w:val="a7"/>
              <w:shd w:val="clear" w:color="auto" w:fill="FFFFFF"/>
              <w:spacing w:before="0" w:beforeAutospacing="0" w:after="0" w:afterAutospacing="0" w:line="480" w:lineRule="atLeast"/>
              <w:rPr>
                <w:rFonts w:ascii="仿宋" w:eastAsia="仿宋" w:hAnsi="仿宋" w:cs="仿宋_GB2312"/>
                <w:color w:val="000000" w:themeColor="text1"/>
              </w:rPr>
            </w:pPr>
          </w:p>
        </w:tc>
        <w:tc>
          <w:tcPr>
            <w:tcW w:w="3732" w:type="dxa"/>
            <w:gridSpan w:val="2"/>
            <w:vMerge/>
          </w:tcPr>
          <w:p w:rsidR="003D04EE" w:rsidRDefault="003D04EE">
            <w:pPr>
              <w:pStyle w:val="a7"/>
              <w:shd w:val="clear" w:color="auto" w:fill="FFFFFF"/>
              <w:spacing w:before="0" w:beforeAutospacing="0" w:after="0" w:afterAutospacing="0" w:line="480" w:lineRule="atLeast"/>
              <w:ind w:left="240" w:hangingChars="100" w:hanging="240"/>
              <w:rPr>
                <w:rFonts w:ascii="仿宋" w:eastAsia="仿宋" w:hAnsi="仿宋" w:cs="仿宋_GB2312"/>
                <w:color w:val="000000" w:themeColor="text1"/>
              </w:rPr>
            </w:pPr>
          </w:p>
        </w:tc>
        <w:tc>
          <w:tcPr>
            <w:tcW w:w="848" w:type="dxa"/>
            <w:vAlign w:val="center"/>
          </w:tcPr>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A</w:t>
            </w:r>
            <w:r>
              <w:rPr>
                <w:rFonts w:ascii="仿宋" w:eastAsia="仿宋" w:hAnsi="仿宋" w:cs="仿宋_GB2312" w:hint="eastAsia"/>
                <w:color w:val="000000" w:themeColor="text1"/>
              </w:rPr>
              <w:t>标准</w:t>
            </w:r>
          </w:p>
        </w:tc>
        <w:tc>
          <w:tcPr>
            <w:tcW w:w="936" w:type="dxa"/>
            <w:vAlign w:val="center"/>
          </w:tcPr>
          <w:p w:rsidR="003D04EE" w:rsidRDefault="003F2E0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r>
              <w:rPr>
                <w:rFonts w:ascii="仿宋" w:eastAsia="仿宋" w:hAnsi="仿宋" w:cs="仿宋_GB2312" w:hint="eastAsia"/>
                <w:color w:val="000000" w:themeColor="text1"/>
              </w:rPr>
              <w:t>B</w:t>
            </w:r>
            <w:r>
              <w:rPr>
                <w:rFonts w:ascii="仿宋" w:eastAsia="仿宋" w:hAnsi="仿宋" w:cs="仿宋_GB2312" w:hint="eastAsia"/>
                <w:color w:val="000000" w:themeColor="text1"/>
              </w:rPr>
              <w:t>标准</w:t>
            </w:r>
          </w:p>
        </w:tc>
        <w:tc>
          <w:tcPr>
            <w:tcW w:w="936" w:type="dxa"/>
            <w:vMerge/>
          </w:tcPr>
          <w:p w:rsidR="003D04EE" w:rsidRDefault="003D04E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p>
        </w:tc>
        <w:tc>
          <w:tcPr>
            <w:tcW w:w="886" w:type="dxa"/>
            <w:vMerge/>
          </w:tcPr>
          <w:p w:rsidR="003D04EE" w:rsidRDefault="003D04EE">
            <w:pPr>
              <w:pStyle w:val="a7"/>
              <w:shd w:val="clear" w:color="auto" w:fill="FFFFFF"/>
              <w:spacing w:before="0" w:beforeAutospacing="0" w:after="0" w:afterAutospacing="0" w:line="480" w:lineRule="atLeast"/>
              <w:ind w:left="240" w:hangingChars="100" w:hanging="240"/>
              <w:jc w:val="center"/>
              <w:rPr>
                <w:rFonts w:ascii="仿宋" w:eastAsia="仿宋" w:hAnsi="仿宋" w:cs="仿宋_GB2312"/>
                <w:color w:val="000000" w:themeColor="text1"/>
              </w:rPr>
            </w:pP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化学需氧量（</w:t>
            </w:r>
            <w:r>
              <w:rPr>
                <w:rFonts w:ascii="仿宋" w:eastAsia="仿宋" w:hAnsi="仿宋" w:cs="仿宋_GB2312" w:hint="eastAsia"/>
                <w:color w:val="000000" w:themeColor="text1"/>
              </w:rPr>
              <w:t>COD</w:t>
            </w:r>
            <w:r>
              <w:rPr>
                <w:rFonts w:ascii="仿宋" w:eastAsia="仿宋" w:hAnsi="仿宋" w:cs="仿宋_GB2312" w:hint="eastAsia"/>
                <w:color w:val="000000" w:themeColor="text1"/>
              </w:rPr>
              <w:t>）</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100</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120</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生化需氧量（</w:t>
            </w:r>
            <w:r>
              <w:rPr>
                <w:rFonts w:ascii="仿宋" w:eastAsia="仿宋" w:hAnsi="仿宋" w:cs="仿宋_GB2312" w:hint="eastAsia"/>
                <w:color w:val="000000" w:themeColor="text1"/>
              </w:rPr>
              <w:t>BOD</w:t>
            </w:r>
            <w:r>
              <w:rPr>
                <w:rFonts w:ascii="仿宋" w:eastAsia="仿宋" w:hAnsi="仿宋" w:cs="仿宋_GB2312" w:hint="eastAsia"/>
                <w:color w:val="000000" w:themeColor="text1"/>
                <w:vertAlign w:val="subscript"/>
              </w:rPr>
              <w:t>5</w:t>
            </w:r>
            <w:r>
              <w:rPr>
                <w:rFonts w:ascii="仿宋" w:eastAsia="仿宋" w:hAnsi="仿宋" w:cs="仿宋_GB2312" w:hint="eastAsia"/>
                <w:color w:val="000000" w:themeColor="text1"/>
              </w:rPr>
              <w:t>）</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30</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60</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悬浮物（</w:t>
            </w:r>
            <w:r>
              <w:rPr>
                <w:rFonts w:ascii="仿宋" w:eastAsia="仿宋" w:hAnsi="仿宋" w:cs="仿宋_GB2312" w:hint="eastAsia"/>
                <w:color w:val="000000" w:themeColor="text1"/>
              </w:rPr>
              <w:t>SS</w:t>
            </w:r>
            <w:r>
              <w:rPr>
                <w:rFonts w:ascii="仿宋" w:eastAsia="仿宋" w:hAnsi="仿宋" w:cs="仿宋_GB2312" w:hint="eastAsia"/>
                <w:color w:val="000000" w:themeColor="text1"/>
              </w:rPr>
              <w:t>）</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30</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50</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4</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动植物油</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20</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石油类</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15</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阴离子表面活性剂</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0.5</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7</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总氮（以</w:t>
            </w:r>
            <w:r>
              <w:rPr>
                <w:rFonts w:ascii="仿宋" w:eastAsia="仿宋" w:hAnsi="仿宋" w:cs="仿宋_GB2312" w:hint="eastAsia"/>
                <w:color w:val="000000" w:themeColor="text1"/>
              </w:rPr>
              <w:t>N</w:t>
            </w:r>
            <w:r>
              <w:rPr>
                <w:rFonts w:ascii="仿宋" w:eastAsia="仿宋" w:hAnsi="仿宋" w:cs="仿宋_GB2312" w:hint="eastAsia"/>
                <w:color w:val="000000" w:themeColor="text1"/>
              </w:rPr>
              <w:t>计）</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15</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20</w:t>
            </w:r>
          </w:p>
        </w:tc>
        <w:tc>
          <w:tcPr>
            <w:tcW w:w="936" w:type="dxa"/>
          </w:tcPr>
          <w:p w:rsidR="003D04EE" w:rsidRDefault="003D04E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p>
        </w:tc>
        <w:tc>
          <w:tcPr>
            <w:tcW w:w="886" w:type="dxa"/>
          </w:tcPr>
          <w:p w:rsidR="003D04EE" w:rsidRDefault="003D04E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8</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氨氮（以</w:t>
            </w:r>
            <w:r>
              <w:rPr>
                <w:rFonts w:ascii="仿宋" w:eastAsia="仿宋" w:hAnsi="仿宋" w:cs="仿宋_GB2312" w:hint="eastAsia"/>
                <w:color w:val="000000" w:themeColor="text1"/>
              </w:rPr>
              <w:t>N</w:t>
            </w:r>
            <w:r>
              <w:rPr>
                <w:rFonts w:ascii="仿宋" w:eastAsia="仿宋" w:hAnsi="仿宋" w:cs="仿宋_GB2312" w:hint="eastAsia"/>
                <w:color w:val="000000" w:themeColor="text1"/>
              </w:rPr>
              <w:t>计）</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r>
              <w:rPr>
                <w:rFonts w:ascii="仿宋" w:eastAsia="仿宋" w:hAnsi="仿宋" w:cs="仿宋_GB2312" w:hint="eastAsia"/>
                <w:color w:val="000000" w:themeColor="text1"/>
              </w:rPr>
              <w:t>（</w:t>
            </w:r>
            <w:r>
              <w:rPr>
                <w:rFonts w:ascii="仿宋" w:eastAsia="仿宋" w:hAnsi="仿宋" w:cs="仿宋_GB2312" w:hint="eastAsia"/>
                <w:color w:val="000000" w:themeColor="text1"/>
              </w:rPr>
              <w:t>8</w:t>
            </w:r>
            <w:r>
              <w:rPr>
                <w:rFonts w:ascii="仿宋" w:eastAsia="仿宋" w:hAnsi="仿宋" w:cs="仿宋_GB2312" w:hint="eastAsia"/>
                <w:color w:val="000000" w:themeColor="text1"/>
              </w:rPr>
              <w:t>）</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8</w:t>
            </w:r>
            <w:r>
              <w:rPr>
                <w:rFonts w:ascii="仿宋" w:eastAsia="仿宋" w:hAnsi="仿宋" w:cs="仿宋_GB2312" w:hint="eastAsia"/>
                <w:color w:val="000000" w:themeColor="text1"/>
              </w:rPr>
              <w:t>（</w:t>
            </w:r>
            <w:r>
              <w:rPr>
                <w:rFonts w:ascii="仿宋" w:eastAsia="仿宋" w:hAnsi="仿宋" w:cs="仿宋_GB2312" w:hint="eastAsia"/>
                <w:color w:val="000000" w:themeColor="text1"/>
              </w:rPr>
              <w:t>15</w:t>
            </w:r>
            <w:r>
              <w:rPr>
                <w:rFonts w:ascii="仿宋" w:eastAsia="仿宋" w:hAnsi="仿宋" w:cs="仿宋_GB2312" w:hint="eastAsia"/>
                <w:color w:val="000000" w:themeColor="text1"/>
              </w:rPr>
              <w:t>）</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25</w:t>
            </w:r>
            <w:r>
              <w:rPr>
                <w:rFonts w:ascii="仿宋" w:eastAsia="仿宋" w:hAnsi="仿宋" w:cs="仿宋_GB2312" w:hint="eastAsia"/>
                <w:color w:val="000000" w:themeColor="text1"/>
              </w:rPr>
              <w:t>（</w:t>
            </w:r>
            <w:r>
              <w:rPr>
                <w:rFonts w:ascii="仿宋" w:eastAsia="仿宋" w:hAnsi="仿宋" w:cs="仿宋_GB2312" w:hint="eastAsia"/>
                <w:color w:val="000000" w:themeColor="text1"/>
              </w:rPr>
              <w:t>30</w:t>
            </w:r>
            <w:r>
              <w:rPr>
                <w:rFonts w:ascii="仿宋" w:eastAsia="仿宋" w:hAnsi="仿宋" w:cs="仿宋_GB2312" w:hint="eastAsia"/>
                <w:color w:val="000000" w:themeColor="text1"/>
              </w:rPr>
              <w:t>）</w:t>
            </w:r>
          </w:p>
        </w:tc>
        <w:tc>
          <w:tcPr>
            <w:tcW w:w="886" w:type="dxa"/>
          </w:tcPr>
          <w:p w:rsidR="003D04EE" w:rsidRDefault="003D04E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p>
        </w:tc>
      </w:tr>
      <w:tr w:rsidR="003D04EE">
        <w:tc>
          <w:tcPr>
            <w:tcW w:w="1184" w:type="dxa"/>
            <w:vMerge w:val="restart"/>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9</w:t>
            </w:r>
          </w:p>
        </w:tc>
        <w:tc>
          <w:tcPr>
            <w:tcW w:w="1194" w:type="dxa"/>
            <w:vMerge w:val="restart"/>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总磷（以</w:t>
            </w:r>
            <w:r>
              <w:rPr>
                <w:rFonts w:ascii="仿宋" w:eastAsia="仿宋" w:hAnsi="仿宋" w:cs="仿宋_GB2312" w:hint="eastAsia"/>
                <w:color w:val="000000" w:themeColor="text1"/>
              </w:rPr>
              <w:t>P</w:t>
            </w:r>
            <w:r>
              <w:rPr>
                <w:rFonts w:ascii="仿宋" w:eastAsia="仿宋" w:hAnsi="仿宋" w:cs="仿宋_GB2312" w:hint="eastAsia"/>
                <w:color w:val="000000" w:themeColor="text1"/>
              </w:rPr>
              <w:t>计）</w:t>
            </w:r>
          </w:p>
        </w:tc>
        <w:tc>
          <w:tcPr>
            <w:tcW w:w="2538"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05</w:t>
            </w:r>
            <w:r>
              <w:rPr>
                <w:rFonts w:ascii="仿宋" w:eastAsia="仿宋" w:hAnsi="仿宋" w:cs="仿宋_GB2312" w:hint="eastAsia"/>
                <w:color w:val="000000" w:themeColor="text1"/>
              </w:rPr>
              <w:t>年</w:t>
            </w:r>
            <w:r>
              <w:rPr>
                <w:rFonts w:ascii="仿宋" w:eastAsia="仿宋" w:hAnsi="仿宋" w:cs="仿宋_GB2312" w:hint="eastAsia"/>
                <w:color w:val="000000" w:themeColor="text1"/>
              </w:rPr>
              <w:t>12</w:t>
            </w:r>
            <w:r>
              <w:rPr>
                <w:rFonts w:ascii="仿宋" w:eastAsia="仿宋" w:hAnsi="仿宋" w:cs="仿宋_GB2312" w:hint="eastAsia"/>
                <w:color w:val="000000" w:themeColor="text1"/>
              </w:rPr>
              <w:t>月</w:t>
            </w:r>
            <w:r>
              <w:rPr>
                <w:rFonts w:ascii="仿宋" w:eastAsia="仿宋" w:hAnsi="仿宋" w:cs="仿宋_GB2312" w:hint="eastAsia"/>
                <w:color w:val="000000" w:themeColor="text1"/>
              </w:rPr>
              <w:t>31</w:t>
            </w:r>
            <w:r>
              <w:rPr>
                <w:rFonts w:ascii="仿宋" w:eastAsia="仿宋" w:hAnsi="仿宋" w:cs="仿宋_GB2312" w:hint="eastAsia"/>
                <w:color w:val="000000" w:themeColor="text1"/>
              </w:rPr>
              <w:t>日前建设</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1.5</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r>
      <w:tr w:rsidR="003D04EE">
        <w:tc>
          <w:tcPr>
            <w:tcW w:w="1184" w:type="dxa"/>
            <w:vMerge/>
            <w:vAlign w:val="center"/>
          </w:tcPr>
          <w:p w:rsidR="003D04EE" w:rsidRDefault="003D04E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p>
        </w:tc>
        <w:tc>
          <w:tcPr>
            <w:tcW w:w="1194" w:type="dxa"/>
            <w:vMerge/>
          </w:tcPr>
          <w:p w:rsidR="003D04EE" w:rsidRDefault="003D04EE">
            <w:pPr>
              <w:pStyle w:val="a7"/>
              <w:shd w:val="clear" w:color="auto" w:fill="FFFFFF"/>
              <w:spacing w:before="0" w:beforeAutospacing="0" w:after="0" w:afterAutospacing="0" w:line="480" w:lineRule="atLeast"/>
              <w:rPr>
                <w:rFonts w:ascii="仿宋" w:eastAsia="仿宋" w:hAnsi="仿宋" w:cs="仿宋_GB2312"/>
                <w:color w:val="000000" w:themeColor="text1"/>
              </w:rPr>
            </w:pPr>
          </w:p>
        </w:tc>
        <w:tc>
          <w:tcPr>
            <w:tcW w:w="2538" w:type="dxa"/>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06</w:t>
            </w:r>
            <w:r>
              <w:rPr>
                <w:rFonts w:ascii="仿宋" w:eastAsia="仿宋" w:hAnsi="仿宋" w:cs="仿宋_GB2312" w:hint="eastAsia"/>
                <w:color w:val="000000" w:themeColor="text1"/>
              </w:rPr>
              <w:t>年</w:t>
            </w:r>
            <w:r>
              <w:rPr>
                <w:rFonts w:ascii="仿宋" w:eastAsia="仿宋" w:hAnsi="仿宋" w:cs="仿宋_GB2312" w:hint="eastAsia"/>
                <w:color w:val="000000" w:themeColor="text1"/>
              </w:rPr>
              <w:t>1</w:t>
            </w:r>
            <w:r>
              <w:rPr>
                <w:rFonts w:ascii="仿宋" w:eastAsia="仿宋" w:hAnsi="仿宋" w:cs="仿宋_GB2312" w:hint="eastAsia"/>
                <w:color w:val="000000" w:themeColor="text1"/>
              </w:rPr>
              <w:t>月</w:t>
            </w:r>
            <w:r>
              <w:rPr>
                <w:rFonts w:ascii="仿宋" w:eastAsia="仿宋" w:hAnsi="仿宋" w:cs="仿宋_GB2312" w:hint="eastAsia"/>
                <w:color w:val="000000" w:themeColor="text1"/>
              </w:rPr>
              <w:t>1</w:t>
            </w:r>
            <w:r>
              <w:rPr>
                <w:rFonts w:ascii="仿宋" w:eastAsia="仿宋" w:hAnsi="仿宋" w:cs="仿宋_GB2312" w:hint="eastAsia"/>
                <w:color w:val="000000" w:themeColor="text1"/>
              </w:rPr>
              <w:t>日起建设的</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0.5</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色度（稀释倍数）</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30</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40</w:t>
            </w:r>
          </w:p>
        </w:tc>
        <w:tc>
          <w:tcPr>
            <w:tcW w:w="88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50</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11</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color w:val="000000" w:themeColor="text1"/>
              </w:rPr>
              <w:t>p</w:t>
            </w:r>
            <w:r>
              <w:rPr>
                <w:rFonts w:ascii="仿宋" w:eastAsia="仿宋" w:hAnsi="仿宋" w:cs="仿宋_GB2312" w:hint="eastAsia"/>
                <w:color w:val="000000" w:themeColor="text1"/>
              </w:rPr>
              <w:t>H</w:t>
            </w:r>
            <w:r>
              <w:rPr>
                <w:rFonts w:ascii="仿宋" w:eastAsia="仿宋" w:hAnsi="仿宋" w:cs="仿宋_GB2312" w:hint="eastAsia"/>
                <w:color w:val="000000" w:themeColor="text1"/>
              </w:rPr>
              <w:t>值</w:t>
            </w:r>
          </w:p>
        </w:tc>
        <w:tc>
          <w:tcPr>
            <w:tcW w:w="3606" w:type="dxa"/>
            <w:gridSpan w:val="4"/>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6</w:t>
            </w:r>
            <w:r>
              <w:rPr>
                <w:rFonts w:ascii="仿宋" w:eastAsia="仿宋" w:hAnsi="仿宋" w:cs="仿宋_GB2312" w:hint="eastAsia"/>
                <w:color w:val="000000" w:themeColor="text1"/>
              </w:rPr>
              <w:t>～</w:t>
            </w:r>
            <w:r>
              <w:rPr>
                <w:rFonts w:ascii="仿宋" w:eastAsia="仿宋" w:hAnsi="仿宋" w:cs="仿宋_GB2312" w:hint="eastAsia"/>
                <w:color w:val="000000" w:themeColor="text1"/>
              </w:rPr>
              <w:t>9</w:t>
            </w:r>
          </w:p>
        </w:tc>
      </w:tr>
      <w:tr w:rsidR="003D04EE">
        <w:tc>
          <w:tcPr>
            <w:tcW w:w="1184" w:type="dxa"/>
            <w:vAlign w:val="center"/>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lastRenderedPageBreak/>
              <w:t>12</w:t>
            </w:r>
          </w:p>
        </w:tc>
        <w:tc>
          <w:tcPr>
            <w:tcW w:w="3732" w:type="dxa"/>
            <w:gridSpan w:val="2"/>
            <w:vAlign w:val="center"/>
          </w:tcPr>
          <w:p w:rsidR="003D04EE" w:rsidRDefault="003F2E0E">
            <w:pPr>
              <w:pStyle w:val="a7"/>
              <w:shd w:val="clear" w:color="auto" w:fill="FFFFFF"/>
              <w:spacing w:before="0" w:beforeAutospacing="0" w:after="0" w:afterAutospacing="0" w:line="480" w:lineRule="atLeast"/>
              <w:jc w:val="both"/>
              <w:rPr>
                <w:rFonts w:ascii="仿宋" w:eastAsia="仿宋" w:hAnsi="仿宋" w:cs="仿宋_GB2312"/>
                <w:color w:val="000000" w:themeColor="text1"/>
              </w:rPr>
            </w:pPr>
            <w:r>
              <w:rPr>
                <w:rFonts w:ascii="仿宋" w:eastAsia="仿宋" w:hAnsi="仿宋" w:cs="仿宋_GB2312" w:hint="eastAsia"/>
                <w:color w:val="000000" w:themeColor="text1"/>
              </w:rPr>
              <w:t>粪大肠菌群数</w:t>
            </w:r>
            <w:r>
              <w:rPr>
                <w:rFonts w:ascii="仿宋" w:eastAsia="仿宋" w:hAnsi="仿宋" w:cs="仿宋_GB2312" w:hint="eastAsia"/>
                <w:color w:val="000000" w:themeColor="text1"/>
              </w:rPr>
              <w:t>/</w:t>
            </w:r>
            <w:r>
              <w:rPr>
                <w:rFonts w:ascii="仿宋" w:eastAsia="仿宋" w:hAnsi="仿宋" w:cs="仿宋_GB2312" w:hint="eastAsia"/>
                <w:color w:val="000000" w:themeColor="text1"/>
              </w:rPr>
              <w:t>（个</w:t>
            </w:r>
            <w:r>
              <w:rPr>
                <w:rFonts w:ascii="仿宋" w:eastAsia="仿宋" w:hAnsi="仿宋" w:cs="仿宋_GB2312" w:hint="eastAsia"/>
                <w:color w:val="000000" w:themeColor="text1"/>
              </w:rPr>
              <w:t>/L</w:t>
            </w:r>
            <w:r>
              <w:rPr>
                <w:rFonts w:ascii="仿宋" w:eastAsia="仿宋" w:hAnsi="仿宋" w:cs="仿宋_GB2312" w:hint="eastAsia"/>
                <w:color w:val="000000" w:themeColor="text1"/>
              </w:rPr>
              <w:t>）</w:t>
            </w:r>
          </w:p>
        </w:tc>
        <w:tc>
          <w:tcPr>
            <w:tcW w:w="848"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w:t>
            </w:r>
            <w:r>
              <w:rPr>
                <w:rFonts w:ascii="仿宋" w:eastAsia="仿宋" w:hAnsi="仿宋" w:cs="仿宋_GB2312" w:hint="eastAsia"/>
                <w:color w:val="000000" w:themeColor="text1"/>
                <w:vertAlign w:val="superscript"/>
              </w:rPr>
              <w:t>3</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w:t>
            </w:r>
            <w:r>
              <w:rPr>
                <w:rFonts w:ascii="仿宋" w:eastAsia="仿宋" w:hAnsi="仿宋" w:cs="仿宋_GB2312" w:hint="eastAsia"/>
                <w:color w:val="000000" w:themeColor="text1"/>
                <w:vertAlign w:val="superscript"/>
              </w:rPr>
              <w:t>4</w:t>
            </w:r>
          </w:p>
        </w:tc>
        <w:tc>
          <w:tcPr>
            <w:tcW w:w="936" w:type="dxa"/>
          </w:tcPr>
          <w:p w:rsidR="003D04EE" w:rsidRDefault="003F2E0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r>
              <w:rPr>
                <w:rFonts w:ascii="仿宋" w:eastAsia="仿宋" w:hAnsi="仿宋" w:cs="仿宋_GB2312" w:hint="eastAsia"/>
                <w:color w:val="000000" w:themeColor="text1"/>
              </w:rPr>
              <w:t>10</w:t>
            </w:r>
            <w:r>
              <w:rPr>
                <w:rFonts w:ascii="仿宋" w:eastAsia="仿宋" w:hAnsi="仿宋" w:cs="仿宋_GB2312" w:hint="eastAsia"/>
                <w:color w:val="000000" w:themeColor="text1"/>
                <w:vertAlign w:val="superscript"/>
              </w:rPr>
              <w:t>4</w:t>
            </w:r>
          </w:p>
        </w:tc>
        <w:tc>
          <w:tcPr>
            <w:tcW w:w="886" w:type="dxa"/>
          </w:tcPr>
          <w:p w:rsidR="003D04EE" w:rsidRDefault="003D04EE">
            <w:pPr>
              <w:pStyle w:val="a7"/>
              <w:shd w:val="clear" w:color="auto" w:fill="FFFFFF"/>
              <w:spacing w:before="0" w:beforeAutospacing="0" w:after="0" w:afterAutospacing="0" w:line="480" w:lineRule="atLeast"/>
              <w:jc w:val="center"/>
              <w:rPr>
                <w:rFonts w:ascii="仿宋" w:eastAsia="仿宋" w:hAnsi="仿宋" w:cs="仿宋_GB2312"/>
                <w:color w:val="000000" w:themeColor="text1"/>
              </w:rPr>
            </w:pPr>
          </w:p>
        </w:tc>
      </w:tr>
    </w:tbl>
    <w:p w:rsidR="003D04EE" w:rsidRDefault="003D04EE">
      <w:pPr>
        <w:pStyle w:val="a7"/>
        <w:shd w:val="clear" w:color="auto" w:fill="FFFFFF"/>
        <w:spacing w:before="0" w:beforeAutospacing="0" w:after="0" w:afterAutospacing="0" w:line="480" w:lineRule="atLeast"/>
        <w:ind w:firstLineChars="200" w:firstLine="640"/>
        <w:jc w:val="center"/>
        <w:rPr>
          <w:rFonts w:ascii="黑体" w:eastAsia="黑体" w:hAnsi="黑体" w:cs="仿宋_GB2312"/>
          <w:color w:val="000000" w:themeColor="text1"/>
          <w:sz w:val="32"/>
          <w:szCs w:val="32"/>
        </w:rPr>
      </w:pPr>
    </w:p>
    <w:p w:rsidR="003D04EE" w:rsidRDefault="003F2E0E">
      <w:pPr>
        <w:pStyle w:val="a7"/>
        <w:numPr>
          <w:ilvl w:val="0"/>
          <w:numId w:val="2"/>
        </w:numPr>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管理体系</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第十八条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建立健全的区人民政府监管、各镇（街区）政府（办事处、管委会）（以下简称“镇（街）”）负责、村级组织配合以及运行维护单位提供服务的农村生活污水处理设施运行维护管理体系，确保建好的污水处理设施及收集设施有人管、管的好、管到位，避免出现“重建轻管”。</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第十九条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城市管理和综合执法局是农村生活污水处理设施运行维护管理的主管部门，其下属事业单位新会区市政设施管理站负责本区农村生活污水处理设施运行维护管理的事务性工作；区财政局、区水利局、区农业农村局、</w:t>
      </w:r>
      <w:r>
        <w:rPr>
          <w:rFonts w:ascii="仿宋" w:eastAsia="仿宋" w:hAnsi="仿宋" w:cs="仿宋_GB2312" w:hint="eastAsia"/>
          <w:color w:val="000000" w:themeColor="text1"/>
          <w:sz w:val="32"/>
          <w:szCs w:val="32"/>
          <w:u w:color="FF0000"/>
        </w:rPr>
        <w:t>区委编办</w:t>
      </w:r>
      <w:r>
        <w:rPr>
          <w:rFonts w:ascii="仿宋" w:eastAsia="仿宋" w:hAnsi="仿宋" w:cs="仿宋_GB2312" w:hint="eastAsia"/>
          <w:color w:val="000000" w:themeColor="text1"/>
          <w:sz w:val="32"/>
          <w:szCs w:val="32"/>
        </w:rPr>
        <w:t>、市生态环境局新会分局等部门根据各自职责，协同做好农村</w:t>
      </w:r>
      <w:r>
        <w:rPr>
          <w:rFonts w:ascii="仿宋" w:eastAsia="仿宋" w:hAnsi="仿宋" w:cs="仿宋_GB2312" w:hint="eastAsia"/>
          <w:color w:val="000000" w:themeColor="text1"/>
          <w:sz w:val="32"/>
          <w:szCs w:val="32"/>
        </w:rPr>
        <w:t>生活污水处理设施的运行维护管理工作。</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区城市管理和综合执法局负责指导区市政设施管理站建立队伍，结合设施投入运行情况，建立专业及数量合理的人员队伍对全区农村生活污水处理设施运行维护工作进行指导、监督、考核。</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第二十一条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城市管理和综合执法局建立管理和考核制度；区财政局统筹安排第三方绩效考核工作经费，并协助代扣代支运营费用；镇（街）承担运行维护管理经费（含日常运维、设施设备维修更换等经费）；市生态环境局新会分局负责农村生活污水处理设施尾水排放的监督管理。</w:t>
      </w:r>
    </w:p>
    <w:p w:rsidR="003D04EE" w:rsidRDefault="003F2E0E">
      <w:pPr>
        <w:pStyle w:val="a7"/>
        <w:shd w:val="clear" w:color="auto" w:fill="FFFFFF"/>
        <w:spacing w:before="0" w:beforeAutospacing="0" w:after="0" w:afterAutospacing="0" w:line="560" w:lineRule="exact"/>
        <w:ind w:firstLineChars="100" w:firstLine="32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 xml:space="preserve">　第二十二条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各镇</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街</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人民政府（办事处）是</w:t>
      </w:r>
      <w:r>
        <w:rPr>
          <w:rFonts w:ascii="仿宋" w:eastAsia="仿宋" w:hAnsi="仿宋" w:cs="仿宋_GB2312" w:hint="eastAsia"/>
          <w:color w:val="000000" w:themeColor="text1"/>
          <w:sz w:val="32"/>
          <w:szCs w:val="32"/>
        </w:rPr>
        <w:t>辖区内农村生活污水处理设施固定资产的权属单位，在项目建成或达到合同约定的移交条件后，负责接收固定资产，并落实运维工作主体责任，包括：制定和落实运行维护管理日常工作制度，规范设施档案管理，落实“一镇（街）一团队”的专职人员，监督专业运行维护单位工作，指导督促村级组织按职责开展日常运行维护管理，并配合区主管部门做好农村生活污水处理设施运行维护管理的指导、协调、监督、考核等相关工作。</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第二十三条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村级组织应当在镇（街）指导下，落实“一村一个人”的专职人员，配合运行维护单位开展设施运行日常巡查、检测、维修和设备更换</w:t>
      </w:r>
      <w:r>
        <w:rPr>
          <w:rFonts w:ascii="仿宋" w:eastAsia="仿宋" w:hAnsi="仿宋" w:cs="仿宋_GB2312" w:hint="eastAsia"/>
          <w:color w:val="000000" w:themeColor="text1"/>
          <w:sz w:val="32"/>
          <w:szCs w:val="32"/>
        </w:rPr>
        <w:t>等；完善村规民约，引导、督促新建房屋污水接入，组织村民自觉管理院内管网、化粪池，及时清理周边环境卫生等。</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第二十四条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运行维护单位应当落实运行维护管理队伍，制订维护手册、操作规程和工作制度，做好污水收集系统和处理系统日常运行、定期养护、应急维修和巡查检查等工作，定期向委托单位报告运行维护情况。</w:t>
      </w:r>
    </w:p>
    <w:p w:rsidR="003D04EE" w:rsidRDefault="003D04E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p>
    <w:p w:rsidR="003D04EE" w:rsidRDefault="003F2E0E">
      <w:pPr>
        <w:pStyle w:val="a7"/>
        <w:numPr>
          <w:ilvl w:val="0"/>
          <w:numId w:val="2"/>
        </w:numPr>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污水处理设施巡查要求</w:t>
      </w:r>
    </w:p>
    <w:p w:rsidR="003D04EE" w:rsidRDefault="003F2E0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第二十五条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农村生活污水处理设施的管养单位应对污水收集管网和污水处理设施进行日常巡查（附录</w:t>
      </w:r>
      <w:r>
        <w:rPr>
          <w:rFonts w:ascii="仿宋" w:eastAsia="仿宋" w:hAnsi="仿宋" w:cs="仿宋_GB2312" w:hint="eastAsia"/>
          <w:color w:val="000000" w:themeColor="text1"/>
          <w:sz w:val="32"/>
          <w:szCs w:val="32"/>
        </w:rPr>
        <w:t>A</w:t>
      </w:r>
      <w:r>
        <w:rPr>
          <w:rFonts w:ascii="仿宋" w:eastAsia="仿宋" w:hAnsi="仿宋" w:cs="仿宋_GB2312" w:hint="eastAsia"/>
          <w:color w:val="000000" w:themeColor="text1"/>
          <w:sz w:val="32"/>
          <w:szCs w:val="32"/>
        </w:rPr>
        <w:t>）、定期检查和周期性维护（附录</w:t>
      </w:r>
      <w:r>
        <w:rPr>
          <w:rFonts w:ascii="仿宋" w:eastAsia="仿宋" w:hAnsi="仿宋" w:cs="仿宋_GB2312" w:hint="eastAsia"/>
          <w:color w:val="000000" w:themeColor="text1"/>
          <w:sz w:val="32"/>
          <w:szCs w:val="32"/>
        </w:rPr>
        <w:t>B</w:t>
      </w:r>
      <w:r>
        <w:rPr>
          <w:rFonts w:ascii="仿宋" w:eastAsia="仿宋" w:hAnsi="仿宋" w:cs="仿宋_GB2312" w:hint="eastAsia"/>
          <w:color w:val="000000" w:themeColor="text1"/>
          <w:sz w:val="32"/>
          <w:szCs w:val="32"/>
        </w:rPr>
        <w:t>），处理能力</w:t>
      </w:r>
      <w:r>
        <w:rPr>
          <w:rFonts w:ascii="仿宋" w:eastAsia="仿宋" w:hAnsi="仿宋" w:cs="仿宋_GB2312" w:hint="eastAsia"/>
          <w:color w:val="000000" w:themeColor="text1"/>
          <w:sz w:val="32"/>
          <w:szCs w:val="32"/>
        </w:rPr>
        <w:t>500m</w:t>
      </w:r>
      <w:r>
        <w:rPr>
          <w:rFonts w:ascii="仿宋" w:eastAsia="仿宋" w:hAnsi="仿宋" w:cs="仿宋_GB2312"/>
          <w:color w:val="000000" w:themeColor="text1"/>
          <w:sz w:val="32"/>
          <w:szCs w:val="32"/>
          <w:vertAlign w:val="superscript"/>
        </w:rPr>
        <w:t>3</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及以上规模的农村生活污水处理设施按照城镇生活污水厂管理；处理</w:t>
      </w:r>
      <w:r>
        <w:rPr>
          <w:rFonts w:ascii="仿宋" w:eastAsia="仿宋" w:hAnsi="仿宋" w:cs="仿宋_GB2312" w:hint="eastAsia"/>
          <w:color w:val="000000" w:themeColor="text1"/>
          <w:sz w:val="32"/>
          <w:szCs w:val="32"/>
        </w:rPr>
        <w:lastRenderedPageBreak/>
        <w:t>能力</w:t>
      </w:r>
      <w:r>
        <w:rPr>
          <w:rFonts w:ascii="仿宋" w:eastAsia="仿宋" w:hAnsi="仿宋" w:cs="仿宋_GB2312" w:hint="eastAsia"/>
          <w:color w:val="000000" w:themeColor="text1"/>
          <w:sz w:val="32"/>
          <w:szCs w:val="32"/>
        </w:rPr>
        <w:t>500m</w:t>
      </w:r>
      <w:r>
        <w:rPr>
          <w:rFonts w:ascii="仿宋" w:eastAsia="仿宋" w:hAnsi="仿宋" w:cs="仿宋_GB2312"/>
          <w:color w:val="000000" w:themeColor="text1"/>
          <w:sz w:val="32"/>
          <w:szCs w:val="32"/>
          <w:vertAlign w:val="superscript"/>
        </w:rPr>
        <w:t>3</w:t>
      </w:r>
      <w:r>
        <w:rPr>
          <w:rFonts w:ascii="仿宋" w:eastAsia="仿宋" w:hAnsi="仿宋" w:cs="仿宋_GB2312" w:hint="eastAsia"/>
          <w:color w:val="000000" w:themeColor="text1"/>
          <w:sz w:val="32"/>
          <w:szCs w:val="32"/>
        </w:rPr>
        <w:t>/d</w:t>
      </w:r>
      <w:r>
        <w:rPr>
          <w:rFonts w:ascii="仿宋" w:eastAsia="仿宋" w:hAnsi="仿宋" w:cs="仿宋_GB2312" w:hint="eastAsia"/>
          <w:color w:val="000000" w:themeColor="text1"/>
          <w:sz w:val="32"/>
          <w:szCs w:val="32"/>
        </w:rPr>
        <w:t>以下规模每周巡检不少于</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次，每次巡检间隔时间不少于</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天，每次巡检记录需有村级相关人员签名确认（或水印相片等相关证明材料），使污水处理系统保持良好的污水收集、处理功能和结构状况，提高处理系统完好率，及时消除事故隐患。</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第二十六条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污水处理设施检查应符合以下要求：</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（一）检查对象为沉砂池、集水井、泵井、格栅、厌氧池、人工湿地、稳定塘、生态沟渠、生化处理设施等及其附属设施。</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（二）污水处理单元的检查可采用目测、插杆检查等方法必要时应采用仪器测量或辅以照相、录像等方式。各单元及附属设施的检查要求宜符合（表</w:t>
      </w: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）的规定。</w:t>
      </w:r>
    </w:p>
    <w:p w:rsidR="003D04EE" w:rsidRDefault="003D04E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480" w:lineRule="atLeast"/>
        <w:ind w:firstLineChars="200" w:firstLine="640"/>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表</w:t>
      </w:r>
      <w:r>
        <w:rPr>
          <w:rFonts w:ascii="黑体" w:eastAsia="黑体" w:hAnsi="黑体" w:cs="仿宋_GB2312" w:hint="eastAsia"/>
          <w:color w:val="000000" w:themeColor="text1"/>
          <w:sz w:val="32"/>
          <w:szCs w:val="32"/>
        </w:rPr>
        <w:t xml:space="preserve">4 </w:t>
      </w:r>
      <w:r>
        <w:rPr>
          <w:rFonts w:ascii="黑体" w:eastAsia="黑体" w:hAnsi="黑体" w:cs="仿宋_GB2312" w:hint="eastAsia"/>
          <w:color w:val="000000" w:themeColor="text1"/>
          <w:sz w:val="32"/>
          <w:szCs w:val="32"/>
        </w:rPr>
        <w:t>污水治理设施检查要求</w:t>
      </w:r>
    </w:p>
    <w:tbl>
      <w:tblPr>
        <w:tblStyle w:val="a9"/>
        <w:tblW w:w="8846" w:type="dxa"/>
        <w:jc w:val="center"/>
        <w:tblLook w:val="04A0" w:firstRow="1" w:lastRow="0" w:firstColumn="1" w:lastColumn="0" w:noHBand="0" w:noVBand="1"/>
      </w:tblPr>
      <w:tblGrid>
        <w:gridCol w:w="1750"/>
        <w:gridCol w:w="1107"/>
        <w:gridCol w:w="4290"/>
        <w:gridCol w:w="1699"/>
      </w:tblGrid>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设施种类</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检查方法</w:t>
            </w:r>
          </w:p>
        </w:tc>
        <w:tc>
          <w:tcPr>
            <w:tcW w:w="429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检查内容</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检查周期</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（间隔时间</w:t>
            </w:r>
            <w:r>
              <w:rPr>
                <w:rFonts w:ascii="仿宋" w:eastAsia="仿宋" w:hAnsi="仿宋" w:cs="仿宋_GB2312" w:hint="eastAsia"/>
                <w:color w:val="000000" w:themeColor="text1"/>
                <w:sz w:val="21"/>
                <w:szCs w:val="21"/>
              </w:rPr>
              <w:t>/</w:t>
            </w:r>
            <w:r>
              <w:rPr>
                <w:rFonts w:ascii="仿宋" w:eastAsia="仿宋" w:hAnsi="仿宋" w:cs="仿宋_GB2312" w:hint="eastAsia"/>
                <w:color w:val="000000" w:themeColor="text1"/>
                <w:sz w:val="21"/>
                <w:szCs w:val="21"/>
              </w:rPr>
              <w:t>次）</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沉砂井、集水井、</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泵井</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插杆检查</w:t>
            </w:r>
          </w:p>
        </w:tc>
        <w:tc>
          <w:tcPr>
            <w:tcW w:w="4290" w:type="dxa"/>
          </w:tcPr>
          <w:p w:rsidR="003D04EE" w:rsidRDefault="003F2E0E">
            <w:pPr>
              <w:pStyle w:val="a7"/>
              <w:spacing w:before="0" w:beforeAutospacing="0" w:after="0" w:afterAutospacing="0"/>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井盖有无丢失、埋没、破损、裂缝；井框有无破损、裂缝；井壁有无结垢、井底积泥厚度浮渣厚度；井身是否坍塌、破损、裂缝、渗漏；水位是否正常</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格栅池</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tcPr>
          <w:p w:rsidR="003D04EE" w:rsidRDefault="003F2E0E">
            <w:pPr>
              <w:pStyle w:val="a7"/>
              <w:spacing w:before="0" w:beforeAutospacing="0" w:after="0" w:afterAutospacing="0"/>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金属构件是否被腐蚀，缺损；有无栅渣、大块杂物及漂浮物；格栅前后水位差</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厌氧池</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插杆检查</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池体结构是否坍塌、破损、裂缝、渗漏；池盖是否破损、裂缝、通风设施是否</w:t>
            </w:r>
            <w:r>
              <w:rPr>
                <w:rFonts w:ascii="仿宋" w:eastAsia="仿宋" w:hAnsi="仿宋" w:cs="仿宋_GB2312" w:hint="eastAsia"/>
                <w:color w:val="000000" w:themeColor="text1"/>
                <w:sz w:val="21"/>
                <w:szCs w:val="21"/>
              </w:rPr>
              <w:t>(</w:t>
            </w:r>
            <w:r>
              <w:rPr>
                <w:rFonts w:ascii="仿宋" w:eastAsia="仿宋" w:hAnsi="仿宋" w:cs="仿宋_GB2312" w:hint="eastAsia"/>
                <w:color w:val="000000" w:themeColor="text1"/>
                <w:sz w:val="21"/>
                <w:szCs w:val="21"/>
              </w:rPr>
              <w:t>通气口或检查口</w:t>
            </w:r>
            <w:r>
              <w:rPr>
                <w:rFonts w:ascii="仿宋" w:eastAsia="仿宋" w:hAnsi="仿宋" w:cs="仿宋_GB2312" w:hint="eastAsia"/>
                <w:color w:val="000000" w:themeColor="text1"/>
                <w:sz w:val="21"/>
                <w:szCs w:val="21"/>
              </w:rPr>
              <w:t>)</w:t>
            </w:r>
            <w:r>
              <w:rPr>
                <w:rFonts w:ascii="仿宋" w:eastAsia="仿宋" w:hAnsi="仿宋" w:cs="仿宋_GB2312" w:hint="eastAsia"/>
                <w:color w:val="000000" w:themeColor="text1"/>
                <w:sz w:val="21"/>
                <w:szCs w:val="21"/>
              </w:rPr>
              <w:t>失效；池底积泥厚度、水位是否正常；有无大块杂物及漂浮物；填料是否松动、结块、框架损害、侵蚀</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人工湿地</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池体结构是否坍塌、破损、裂缝、渗漏；有无杂草或其他杂物、漂浮物、植物残体；湿地植物的生长密度、覆盖率、病虫害、外来物种；基质是否堵塞、结块；水位是否正常、潜流湿地是否有壅水现象</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稳定塘、生态沟</w:t>
            </w:r>
            <w:r>
              <w:rPr>
                <w:rFonts w:ascii="仿宋" w:eastAsia="仿宋" w:hAnsi="仿宋" w:cs="仿宋_GB2312" w:hint="eastAsia"/>
                <w:color w:val="000000" w:themeColor="text1"/>
                <w:sz w:val="21"/>
                <w:szCs w:val="21"/>
              </w:rPr>
              <w:lastRenderedPageBreak/>
              <w:t>渠</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lastRenderedPageBreak/>
              <w:t>目测、</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lastRenderedPageBreak/>
              <w:t>插杆检查</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lastRenderedPageBreak/>
              <w:t>堤坝有无雨淋沟、沉陷、裂缝、渗漏、滑坡</w:t>
            </w:r>
            <w:r>
              <w:rPr>
                <w:rFonts w:ascii="仿宋" w:eastAsia="仿宋" w:hAnsi="仿宋" w:cs="仿宋_GB2312" w:hint="eastAsia"/>
                <w:color w:val="000000" w:themeColor="text1"/>
                <w:sz w:val="21"/>
                <w:szCs w:val="21"/>
              </w:rPr>
              <w:lastRenderedPageBreak/>
              <w:t>和白蚁、兽类为害等现象；堤坝水生植物覆盖率、杂草；水面是否漂浮物碎片、废渣或其他垃圾；水生植物覆盖率、积泥厚度、底泥是否上涌；水位、水流是否正常</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lastRenderedPageBreak/>
              <w:t>1</w:t>
            </w:r>
            <w:r>
              <w:rPr>
                <w:rFonts w:ascii="仿宋" w:eastAsia="仿宋" w:hAnsi="仿宋" w:cs="仿宋_GB2312" w:hint="eastAsia"/>
                <w:color w:val="000000" w:themeColor="text1"/>
                <w:sz w:val="21"/>
                <w:szCs w:val="21"/>
              </w:rPr>
              <w:t>周</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lastRenderedPageBreak/>
              <w:t>接触氧化、膜生</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物处理等生化</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处理系统</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池体结构是否破损、裂缝、渗漏；曝气设施是否漏气、曝气均匀；水面有无结垢、泡沫、漂浮物；沉淀池表面是否有浮泥；填料支架是否稳固、破损；接触氧化池填料是否缠绕、堵塞、结块；接触氧化池污泥是否膨胀上浮、污泥是否发臭；膜生物反应器内膜组件是否有定期清洗：系统运行是否正常。</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1750"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水泵</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是否有跳闸；检查水泵有无异常振动及异常响声；泵有无缺失、机械损害、留意查看电缆；机械密封是否滴漏水</w:t>
            </w:r>
          </w:p>
        </w:tc>
        <w:tc>
          <w:tcPr>
            <w:tcW w:w="1699"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trHeight w:val="1043"/>
          <w:jc w:val="center"/>
        </w:trPr>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鼓风机</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有无缺失被盗、异常声响、振动、是否有异物卡住；油箱储油量、油质是否正常；机器构件有无损坏或脱落</w:t>
            </w:r>
          </w:p>
        </w:tc>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曝气设施</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曝气是否均匀；各构件有无明显的破损、</w:t>
            </w:r>
          </w:p>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断裂</w:t>
            </w:r>
          </w:p>
        </w:tc>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闸门、闸槽、阀</w:t>
            </w:r>
          </w:p>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门</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闸门有否异物卡口；密闭性能及启闭灵活性；构件是否有腐蚀、缺损</w:t>
            </w:r>
          </w:p>
        </w:tc>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r w:rsidR="003D04EE">
        <w:trPr>
          <w:jc w:val="center"/>
        </w:trPr>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附属建筑物</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砌石、混凝土和钢筋混凝土墩墙有无裂缝、渗水、沉降、倾斜、剥蚀、风化、露筋等现象；墙面、屋面有无裂缝、渗漏，内外墙涂料、贴面有无剥落，房屋设施有无损坏；伸缩缝与止水有无损坏、渗漏；金属构件有无损坏或锈蚀</w:t>
            </w:r>
          </w:p>
        </w:tc>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月</w:t>
            </w:r>
          </w:p>
        </w:tc>
      </w:tr>
      <w:tr w:rsidR="003D04EE">
        <w:trPr>
          <w:jc w:val="center"/>
        </w:trPr>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其他</w:t>
            </w:r>
          </w:p>
        </w:tc>
        <w:tc>
          <w:tcPr>
            <w:tcW w:w="1107" w:type="dxa"/>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目测</w:t>
            </w:r>
          </w:p>
        </w:tc>
        <w:tc>
          <w:tcPr>
            <w:tcW w:w="4290" w:type="dxa"/>
            <w:vAlign w:val="center"/>
          </w:tcPr>
          <w:p w:rsidR="003D04EE" w:rsidRDefault="003F2E0E">
            <w:pPr>
              <w:pStyle w:val="a7"/>
              <w:spacing w:before="0" w:beforeAutospacing="0" w:after="0" w:afterAutospacing="0"/>
              <w:jc w:val="both"/>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公示牌是否破损、老化、单位和人员信息是否及时更新；安全警示标志是否完好；供配电设施是否缺损，配电是否符合相关规定；仪表和监控系统是否正常</w:t>
            </w:r>
          </w:p>
        </w:tc>
        <w:tc>
          <w:tcPr>
            <w:tcW w:w="0" w:type="auto"/>
            <w:vAlign w:val="center"/>
          </w:tcPr>
          <w:p w:rsidR="003D04EE" w:rsidRDefault="003F2E0E">
            <w:pPr>
              <w:pStyle w:val="a7"/>
              <w:spacing w:before="0" w:beforeAutospacing="0" w:after="0" w:afterAutospacing="0"/>
              <w:jc w:val="center"/>
              <w:rPr>
                <w:rFonts w:ascii="仿宋" w:eastAsia="仿宋" w:hAnsi="仿宋" w:cs="仿宋_GB2312"/>
                <w:color w:val="000000" w:themeColor="text1"/>
                <w:sz w:val="21"/>
                <w:szCs w:val="21"/>
              </w:rPr>
            </w:pPr>
            <w:r>
              <w:rPr>
                <w:rFonts w:ascii="仿宋" w:eastAsia="仿宋" w:hAnsi="仿宋" w:cs="仿宋_GB2312" w:hint="eastAsia"/>
                <w:color w:val="000000" w:themeColor="text1"/>
                <w:sz w:val="21"/>
                <w:szCs w:val="21"/>
              </w:rPr>
              <w:t>1</w:t>
            </w:r>
            <w:r>
              <w:rPr>
                <w:rFonts w:ascii="仿宋" w:eastAsia="仿宋" w:hAnsi="仿宋" w:cs="仿宋_GB2312" w:hint="eastAsia"/>
                <w:color w:val="000000" w:themeColor="text1"/>
                <w:sz w:val="21"/>
                <w:szCs w:val="21"/>
              </w:rPr>
              <w:t>周</w:t>
            </w:r>
          </w:p>
        </w:tc>
      </w:tr>
    </w:tbl>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（三）定期对治理设施进出水</w:t>
      </w:r>
      <w:r>
        <w:rPr>
          <w:rFonts w:ascii="仿宋" w:eastAsia="仿宋" w:hAnsi="仿宋" w:cs="仿宋_GB2312" w:hint="eastAsia"/>
          <w:color w:val="000000" w:themeColor="text1"/>
          <w:sz w:val="32"/>
          <w:szCs w:val="32"/>
        </w:rPr>
        <w:t>CODcr</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NH3-N</w:t>
      </w:r>
      <w:r>
        <w:rPr>
          <w:rFonts w:ascii="仿宋" w:eastAsia="仿宋" w:hAnsi="仿宋" w:cs="仿宋_GB2312" w:hint="eastAsia"/>
          <w:color w:val="000000" w:themeColor="text1"/>
          <w:sz w:val="32"/>
          <w:szCs w:val="32"/>
        </w:rPr>
        <w:t>等指标进行检测，分析进出水水质是否符合设计标准。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（四）污水处理设施处理单元池体内允许积泥深度应符合（表</w:t>
      </w: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）的规定。</w:t>
      </w:r>
    </w:p>
    <w:p w:rsidR="003D04EE" w:rsidRDefault="003F2E0E">
      <w:pPr>
        <w:pStyle w:val="a7"/>
        <w:shd w:val="clear" w:color="auto" w:fill="FFFFFF"/>
        <w:spacing w:before="0" w:beforeAutospacing="0" w:after="0" w:afterAutospacing="0" w:line="480" w:lineRule="atLeas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表</w:t>
      </w:r>
      <w:r>
        <w:rPr>
          <w:rFonts w:ascii="黑体" w:eastAsia="黑体" w:hAnsi="黑体" w:cs="仿宋_GB2312" w:hint="eastAsia"/>
          <w:color w:val="000000" w:themeColor="text1"/>
          <w:sz w:val="32"/>
          <w:szCs w:val="32"/>
        </w:rPr>
        <w:t xml:space="preserve">5  </w:t>
      </w:r>
      <w:r>
        <w:rPr>
          <w:rFonts w:ascii="黑体" w:eastAsia="黑体" w:hAnsi="黑体" w:cs="仿宋_GB2312" w:hint="eastAsia"/>
          <w:color w:val="000000" w:themeColor="text1"/>
          <w:sz w:val="32"/>
          <w:szCs w:val="32"/>
        </w:rPr>
        <w:t>污水处理设施最大允许积泥深度</w:t>
      </w:r>
    </w:p>
    <w:tbl>
      <w:tblPr>
        <w:tblStyle w:val="a9"/>
        <w:tblW w:w="8760" w:type="dxa"/>
        <w:tblInd w:w="205" w:type="dxa"/>
        <w:tblLook w:val="04A0" w:firstRow="1" w:lastRow="0" w:firstColumn="1" w:lastColumn="0" w:noHBand="0" w:noVBand="1"/>
      </w:tblPr>
      <w:tblGrid>
        <w:gridCol w:w="3765"/>
        <w:gridCol w:w="4995"/>
      </w:tblGrid>
      <w:tr w:rsidR="003D04EE">
        <w:trPr>
          <w:trHeight w:val="338"/>
        </w:trPr>
        <w:tc>
          <w:tcPr>
            <w:tcW w:w="3765" w:type="dxa"/>
          </w:tcPr>
          <w:p w:rsidR="003D04EE" w:rsidRDefault="003F2E0E">
            <w:pPr>
              <w:pStyle w:val="a7"/>
              <w:spacing w:before="0" w:beforeAutospacing="0" w:after="0" w:afterAutospacing="0" w:line="480" w:lineRule="atLeast"/>
              <w:jc w:val="center"/>
              <w:rPr>
                <w:rFonts w:ascii="黑体" w:eastAsia="黑体" w:hAnsi="黑体" w:cs="仿宋_GB2312"/>
                <w:color w:val="000000" w:themeColor="text1"/>
                <w:sz w:val="32"/>
                <w:szCs w:val="32"/>
              </w:rPr>
            </w:pPr>
            <w:r>
              <w:rPr>
                <w:rFonts w:ascii="仿宋" w:eastAsia="仿宋" w:hAnsi="仿宋" w:cs="仿宋_GB2312" w:hint="eastAsia"/>
                <w:color w:val="000000" w:themeColor="text1"/>
                <w:sz w:val="28"/>
                <w:szCs w:val="28"/>
              </w:rPr>
              <w:t>设施类别</w:t>
            </w:r>
          </w:p>
        </w:tc>
        <w:tc>
          <w:tcPr>
            <w:tcW w:w="499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最大允许积泥深度</w:t>
            </w:r>
          </w:p>
        </w:tc>
      </w:tr>
      <w:tr w:rsidR="003D04EE">
        <w:trPr>
          <w:trHeight w:val="338"/>
        </w:trPr>
        <w:tc>
          <w:tcPr>
            <w:tcW w:w="376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lastRenderedPageBreak/>
              <w:t>沉砂井</w:t>
            </w:r>
          </w:p>
        </w:tc>
        <w:tc>
          <w:tcPr>
            <w:tcW w:w="499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池体的</w:t>
            </w:r>
            <w:r>
              <w:rPr>
                <w:rFonts w:ascii="仿宋" w:eastAsia="仿宋" w:hAnsi="仿宋" w:cs="仿宋_GB2312" w:hint="eastAsia"/>
                <w:color w:val="000000" w:themeColor="text1"/>
                <w:sz w:val="28"/>
                <w:szCs w:val="28"/>
              </w:rPr>
              <w:t>1/5</w:t>
            </w:r>
          </w:p>
        </w:tc>
      </w:tr>
      <w:tr w:rsidR="003D04EE">
        <w:trPr>
          <w:trHeight w:val="338"/>
        </w:trPr>
        <w:tc>
          <w:tcPr>
            <w:tcW w:w="376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泵井</w:t>
            </w:r>
          </w:p>
        </w:tc>
        <w:tc>
          <w:tcPr>
            <w:tcW w:w="499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池体有效水深的</w:t>
            </w:r>
            <w:r>
              <w:rPr>
                <w:rFonts w:ascii="仿宋" w:eastAsia="仿宋" w:hAnsi="仿宋" w:cs="仿宋_GB2312" w:hint="eastAsia"/>
                <w:color w:val="000000" w:themeColor="text1"/>
                <w:sz w:val="28"/>
                <w:szCs w:val="28"/>
              </w:rPr>
              <w:t>1/5</w:t>
            </w:r>
          </w:p>
        </w:tc>
      </w:tr>
      <w:tr w:rsidR="003D04EE">
        <w:trPr>
          <w:trHeight w:val="338"/>
        </w:trPr>
        <w:tc>
          <w:tcPr>
            <w:tcW w:w="376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集水井</w:t>
            </w:r>
          </w:p>
        </w:tc>
        <w:tc>
          <w:tcPr>
            <w:tcW w:w="499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池体有效水深的</w:t>
            </w:r>
            <w:r>
              <w:rPr>
                <w:rFonts w:ascii="仿宋" w:eastAsia="仿宋" w:hAnsi="仿宋" w:cs="仿宋_GB2312" w:hint="eastAsia"/>
                <w:color w:val="000000" w:themeColor="text1"/>
                <w:sz w:val="28"/>
                <w:szCs w:val="28"/>
              </w:rPr>
              <w:t>1/5</w:t>
            </w:r>
          </w:p>
        </w:tc>
      </w:tr>
      <w:tr w:rsidR="003D04EE">
        <w:trPr>
          <w:trHeight w:val="338"/>
        </w:trPr>
        <w:tc>
          <w:tcPr>
            <w:tcW w:w="376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厌氧池</w:t>
            </w:r>
          </w:p>
        </w:tc>
        <w:tc>
          <w:tcPr>
            <w:tcW w:w="499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池体有效水深的</w:t>
            </w:r>
            <w:r>
              <w:rPr>
                <w:rFonts w:ascii="仿宋" w:eastAsia="仿宋" w:hAnsi="仿宋" w:cs="仿宋_GB2312" w:hint="eastAsia"/>
                <w:color w:val="000000" w:themeColor="text1"/>
                <w:sz w:val="28"/>
                <w:szCs w:val="28"/>
              </w:rPr>
              <w:t>1/5</w:t>
            </w:r>
          </w:p>
        </w:tc>
      </w:tr>
      <w:tr w:rsidR="003D04EE">
        <w:trPr>
          <w:trHeight w:val="338"/>
        </w:trPr>
        <w:tc>
          <w:tcPr>
            <w:tcW w:w="376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生态沟渠</w:t>
            </w:r>
          </w:p>
        </w:tc>
        <w:tc>
          <w:tcPr>
            <w:tcW w:w="4995"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沟渠有效水深的</w:t>
            </w:r>
            <w:r>
              <w:rPr>
                <w:rFonts w:ascii="仿宋" w:eastAsia="仿宋" w:hAnsi="仿宋" w:cs="仿宋_GB2312" w:hint="eastAsia"/>
                <w:color w:val="000000" w:themeColor="text1"/>
                <w:sz w:val="28"/>
                <w:szCs w:val="28"/>
              </w:rPr>
              <w:t>1/5</w:t>
            </w:r>
          </w:p>
        </w:tc>
      </w:tr>
    </w:tbl>
    <w:p w:rsidR="003D04EE" w:rsidRDefault="003D04E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p>
    <w:p w:rsidR="003D04EE" w:rsidRDefault="003F2E0E">
      <w:pPr>
        <w:pStyle w:val="a7"/>
        <w:numPr>
          <w:ilvl w:val="0"/>
          <w:numId w:val="2"/>
        </w:numPr>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污水处理设施运行维护要求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第二十七条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农村生活污水处理设施运行维护管理应当包括以下内容：</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（一）对污水收集管网、格栅、检查井、调节池、处理工艺主体和出水井等构筑物进行全面巡查检查，发现损坏及时修复；检查各类井盖的完整性、安全性；</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（二）对污水收集管网、格栅、检查井、调节池、出水井进行清渣清淤维护；</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（三）对水泵、风机等机电设备及电力电缆运行情况进行检查，出现故障及时维修更换；</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（四）对进出水水量、水质进行观察记录，并定期对出水水质进行监测，发现异常及时进行排查检修；</w:t>
      </w:r>
    </w:p>
    <w:p w:rsidR="003D04EE" w:rsidRDefault="003F2E0E">
      <w:pPr>
        <w:pStyle w:val="a7"/>
        <w:shd w:val="clear" w:color="auto" w:fill="FFFFFF"/>
        <w:spacing w:before="0" w:beforeAutospacing="0" w:after="0" w:afterAutospacing="0" w:line="560" w:lineRule="exact"/>
        <w:ind w:firstLine="645"/>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（五）对出现较严重情况如地面沉降、路面拓宽等可能影响处理设施正常运行的问题，及时处理，并向镇（街）人民政府（办事处</w:t>
      </w:r>
      <w:r>
        <w:rPr>
          <w:rFonts w:ascii="仿宋" w:eastAsia="仿宋" w:hAnsi="仿宋" w:cs="仿宋_GB2312" w:hint="eastAsia"/>
          <w:color w:val="000000" w:themeColor="text1"/>
          <w:sz w:val="32"/>
          <w:szCs w:val="32"/>
        </w:rPr>
        <w:t>）报告。</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第二十八条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农村生活污水处理设施运行维护管理应当达到以下要求：</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 xml:space="preserve">　　（一）管道检查井：管道完好通畅，无渗漏、违章占压、私自接管；检查井与井盖完好，井底无沉积物，无污水冒溢；</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（二）化粪池、调节池：完好无渗漏、堵塞、结构缺损、违章占压、污水冒溢；格栅完好无堵塞，无水流漫溢；</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（三）水泵与配电设施：水泵运行良好，无明显漏水；配电设施无缺损、漏电、跳闸、读数异常；</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（四）出水井：完好无渗漏、堵塞、结构破损、违章占压；</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（五）处理系统主体设施：结构完好，无明显不均匀沉降、裂缝；无明显堵塞</w:t>
      </w:r>
      <w:r>
        <w:rPr>
          <w:rFonts w:ascii="仿宋" w:eastAsia="仿宋" w:hAnsi="仿宋" w:cs="仿宋_GB2312" w:hint="eastAsia"/>
          <w:color w:val="000000" w:themeColor="text1"/>
          <w:sz w:val="32"/>
          <w:szCs w:val="32"/>
        </w:rPr>
        <w:t>，进水及过滤顺畅，无漫溢；无占绿、毁绿、表面堆肥、种植有损处理效果作物；无违章搭建、占压、结构及布水管道破损；</w:t>
      </w:r>
    </w:p>
    <w:p w:rsidR="003D04EE" w:rsidRDefault="003F2E0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（六）出水水质稳定达标。</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第二十九条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处理设施养护要求</w:t>
      </w:r>
    </w:p>
    <w:p w:rsidR="003D04EE" w:rsidRDefault="003F2E0E">
      <w:pPr>
        <w:pStyle w:val="a7"/>
        <w:numPr>
          <w:ilvl w:val="0"/>
          <w:numId w:val="3"/>
        </w:numPr>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一般规定</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格栅、沉砂井、集水池、泵井、厌氧池的维护应符合</w:t>
      </w:r>
      <w:r>
        <w:rPr>
          <w:rFonts w:ascii="仿宋" w:eastAsia="仿宋" w:hAnsi="仿宋" w:cs="仿宋_GB2312"/>
          <w:color w:val="000000" w:themeColor="text1"/>
          <w:sz w:val="32"/>
          <w:szCs w:val="32"/>
        </w:rPr>
        <w:t>《</w:t>
      </w:r>
      <w:hyperlink r:id="rId9" w:tgtFrame="https://www.so.com/_blank" w:history="1">
        <w:r>
          <w:rPr>
            <w:rFonts w:ascii="仿宋" w:eastAsia="仿宋" w:hAnsi="仿宋" w:cs="仿宋_GB2312"/>
            <w:color w:val="000000" w:themeColor="text1"/>
            <w:sz w:val="32"/>
            <w:szCs w:val="32"/>
          </w:rPr>
          <w:t xml:space="preserve">CJJ60-2011 </w:t>
        </w:r>
        <w:r>
          <w:rPr>
            <w:rFonts w:ascii="仿宋" w:eastAsia="仿宋" w:hAnsi="仿宋" w:cs="仿宋_GB2312"/>
            <w:color w:val="000000" w:themeColor="text1"/>
            <w:sz w:val="32"/>
            <w:szCs w:val="32"/>
          </w:rPr>
          <w:t>城镇污水处理厂运行、维护及安全技术规程</w:t>
        </w:r>
      </w:hyperlink>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相关规定，人工湿地的维护应符合</w:t>
      </w:r>
      <w:r>
        <w:rPr>
          <w:rFonts w:ascii="仿宋" w:eastAsia="仿宋" w:hAnsi="仿宋" w:cs="仿宋_GB2312"/>
          <w:color w:val="000000" w:themeColor="text1"/>
          <w:sz w:val="32"/>
          <w:szCs w:val="32"/>
        </w:rPr>
        <w:t>《</w:t>
      </w:r>
      <w:r>
        <w:rPr>
          <w:rFonts w:ascii="仿宋" w:eastAsia="仿宋" w:hAnsi="仿宋" w:cs="仿宋_GB2312"/>
          <w:color w:val="000000" w:themeColor="text1"/>
          <w:sz w:val="32"/>
          <w:szCs w:val="32"/>
        </w:rPr>
        <w:t>CJJT</w:t>
      </w:r>
      <w:r>
        <w:rPr>
          <w:rFonts w:ascii="Calibri" w:eastAsia="仿宋" w:hAnsi="Calibri" w:cs="Calibri"/>
          <w:color w:val="000000" w:themeColor="text1"/>
          <w:sz w:val="32"/>
          <w:szCs w:val="32"/>
        </w:rPr>
        <w:t> </w:t>
      </w:r>
      <w:r>
        <w:rPr>
          <w:rFonts w:ascii="仿宋" w:eastAsia="仿宋" w:hAnsi="仿宋" w:cs="仿宋_GB2312"/>
          <w:color w:val="000000" w:themeColor="text1"/>
          <w:sz w:val="32"/>
          <w:szCs w:val="32"/>
        </w:rPr>
        <w:t xml:space="preserve">54-1993 </w:t>
      </w:r>
      <w:r>
        <w:rPr>
          <w:rFonts w:ascii="仿宋" w:eastAsia="仿宋" w:hAnsi="仿宋" w:cs="仿宋_GB2312"/>
          <w:color w:val="000000" w:themeColor="text1"/>
          <w:sz w:val="32"/>
          <w:szCs w:val="32"/>
        </w:rPr>
        <w:t>污水稳定塘设计规范》</w:t>
      </w:r>
      <w:r>
        <w:rPr>
          <w:rFonts w:ascii="仿宋" w:eastAsia="仿宋" w:hAnsi="仿宋" w:cs="仿宋_GB2312" w:hint="eastAsia"/>
          <w:color w:val="000000" w:themeColor="text1"/>
          <w:sz w:val="32"/>
          <w:szCs w:val="32"/>
        </w:rPr>
        <w:t>和</w:t>
      </w:r>
      <w:r>
        <w:rPr>
          <w:rFonts w:ascii="仿宋" w:eastAsia="仿宋" w:hAnsi="仿宋" w:cs="仿宋_GB2312"/>
          <w:color w:val="000000" w:themeColor="text1"/>
          <w:sz w:val="32"/>
          <w:szCs w:val="32"/>
        </w:rPr>
        <w:t>《</w:t>
      </w:r>
      <w:hyperlink r:id="rId10" w:tgtFrame="https://www.baidu.com/_blank" w:history="1">
        <w:r>
          <w:rPr>
            <w:rFonts w:ascii="仿宋" w:eastAsia="仿宋" w:hAnsi="仿宋" w:cs="仿宋_GB2312"/>
            <w:color w:val="000000" w:themeColor="text1"/>
            <w:sz w:val="32"/>
            <w:szCs w:val="32"/>
          </w:rPr>
          <w:t>人工湿地污水处理工程技术规范</w:t>
        </w:r>
        <w:r>
          <w:rPr>
            <w:rFonts w:ascii="仿宋" w:eastAsia="仿宋" w:hAnsi="仿宋" w:cs="仿宋_GB2312"/>
            <w:color w:val="000000" w:themeColor="text1"/>
            <w:sz w:val="32"/>
            <w:szCs w:val="32"/>
          </w:rPr>
          <w:t xml:space="preserve"> (HJ 2005-2010)</w:t>
        </w:r>
      </w:hyperlink>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t>相关规定，稳定塘、生态沟渠的维护应符合</w:t>
      </w:r>
      <w:r>
        <w:rPr>
          <w:rFonts w:ascii="仿宋" w:eastAsia="仿宋" w:hAnsi="仿宋" w:cs="仿宋_GB2312"/>
          <w:color w:val="000000" w:themeColor="text1"/>
          <w:sz w:val="32"/>
          <w:szCs w:val="32"/>
        </w:rPr>
        <w:t>《</w:t>
      </w:r>
      <w:r>
        <w:rPr>
          <w:rFonts w:ascii="仿宋" w:eastAsia="仿宋" w:hAnsi="仿宋" w:cs="仿宋_GB2312"/>
          <w:color w:val="000000" w:themeColor="text1"/>
          <w:sz w:val="32"/>
          <w:szCs w:val="32"/>
        </w:rPr>
        <w:t>CJJT</w:t>
      </w:r>
      <w:r>
        <w:rPr>
          <w:rFonts w:ascii="Calibri" w:eastAsia="仿宋" w:hAnsi="Calibri" w:cs="Calibri"/>
          <w:color w:val="000000" w:themeColor="text1"/>
          <w:sz w:val="32"/>
          <w:szCs w:val="32"/>
        </w:rPr>
        <w:t> </w:t>
      </w:r>
      <w:r>
        <w:rPr>
          <w:rFonts w:ascii="仿宋" w:eastAsia="仿宋" w:hAnsi="仿宋" w:cs="仿宋_GB2312"/>
          <w:color w:val="000000" w:themeColor="text1"/>
          <w:sz w:val="32"/>
          <w:szCs w:val="32"/>
        </w:rPr>
        <w:t>5</w:t>
      </w:r>
      <w:r>
        <w:rPr>
          <w:rFonts w:ascii="仿宋" w:eastAsia="仿宋" w:hAnsi="仿宋" w:cs="仿宋_GB2312"/>
          <w:color w:val="000000" w:themeColor="text1"/>
          <w:sz w:val="32"/>
          <w:szCs w:val="32"/>
        </w:rPr>
        <w:t xml:space="preserve">4-1993 </w:t>
      </w:r>
      <w:r>
        <w:rPr>
          <w:rFonts w:ascii="仿宋" w:eastAsia="仿宋" w:hAnsi="仿宋" w:cs="仿宋_GB2312"/>
          <w:color w:val="000000" w:themeColor="text1"/>
          <w:sz w:val="32"/>
          <w:szCs w:val="32"/>
        </w:rPr>
        <w:t>污水稳定塘设计规范》</w:t>
      </w:r>
      <w:r>
        <w:rPr>
          <w:rFonts w:ascii="仿宋" w:eastAsia="仿宋" w:hAnsi="仿宋" w:cs="仿宋_GB2312" w:hint="eastAsia"/>
          <w:color w:val="000000" w:themeColor="text1"/>
          <w:sz w:val="32"/>
          <w:szCs w:val="32"/>
        </w:rPr>
        <w:t>相关规定，膜生物反应器的维护应符合</w:t>
      </w:r>
      <w:r>
        <w:rPr>
          <w:rFonts w:ascii="仿宋" w:eastAsia="仿宋" w:hAnsi="仿宋" w:cs="仿宋_GB2312"/>
          <w:color w:val="000000" w:themeColor="text1"/>
          <w:sz w:val="32"/>
          <w:szCs w:val="32"/>
        </w:rPr>
        <w:t>《</w:t>
      </w:r>
      <w:hyperlink r:id="rId11" w:tgtFrame="https://www.so.com/_blank" w:history="1">
        <w:r>
          <w:rPr>
            <w:rFonts w:ascii="仿宋" w:eastAsia="仿宋" w:hAnsi="仿宋" w:cs="仿宋_GB2312"/>
            <w:color w:val="000000" w:themeColor="text1"/>
            <w:sz w:val="32"/>
            <w:szCs w:val="32"/>
          </w:rPr>
          <w:t xml:space="preserve">GB∕T 33898-2017 </w:t>
        </w:r>
        <w:r>
          <w:rPr>
            <w:rFonts w:ascii="仿宋" w:eastAsia="仿宋" w:hAnsi="仿宋" w:cs="仿宋_GB2312"/>
            <w:color w:val="000000" w:themeColor="text1"/>
            <w:sz w:val="32"/>
            <w:szCs w:val="32"/>
          </w:rPr>
          <w:t>膜生物反应器通用技术规范</w:t>
        </w:r>
      </w:hyperlink>
      <w:r>
        <w:rPr>
          <w:rFonts w:ascii="仿宋" w:eastAsia="仿宋" w:hAnsi="仿宋" w:cs="仿宋_GB2312"/>
          <w:color w:val="000000" w:themeColor="text1"/>
          <w:sz w:val="32"/>
          <w:szCs w:val="32"/>
        </w:rPr>
        <w:t>》《</w:t>
      </w:r>
      <w:hyperlink r:id="rId12" w:tgtFrame="https://www.so.com/_blank" w:history="1">
        <w:r>
          <w:rPr>
            <w:rFonts w:ascii="仿宋" w:eastAsia="仿宋" w:hAnsi="仿宋" w:cs="仿宋_GB2312"/>
            <w:color w:val="000000" w:themeColor="text1"/>
            <w:sz w:val="32"/>
            <w:szCs w:val="32"/>
          </w:rPr>
          <w:t>膜生物法污水处理工程技术规范</w:t>
        </w:r>
        <w:r>
          <w:rPr>
            <w:rFonts w:ascii="仿宋" w:eastAsia="仿宋" w:hAnsi="仿宋" w:cs="仿宋_GB2312"/>
            <w:color w:val="000000" w:themeColor="text1"/>
            <w:sz w:val="32"/>
            <w:szCs w:val="32"/>
          </w:rPr>
          <w:t>(HJ 2010-2011)</w:t>
        </w:r>
        <w:r>
          <w:rPr>
            <w:rFonts w:ascii="仿宋" w:eastAsia="仿宋" w:hAnsi="仿宋" w:cs="仿宋_GB2312"/>
            <w:color w:val="000000" w:themeColor="text1"/>
            <w:sz w:val="32"/>
            <w:szCs w:val="32"/>
          </w:rPr>
          <w:t>》《</w:t>
        </w:r>
        <w:r>
          <w:rPr>
            <w:rFonts w:ascii="仿宋" w:eastAsia="仿宋" w:hAnsi="仿宋" w:cs="仿宋_GB2312"/>
            <w:color w:val="000000" w:themeColor="text1"/>
            <w:sz w:val="32"/>
            <w:szCs w:val="32"/>
          </w:rPr>
          <w:t> </w:t>
        </w:r>
      </w:hyperlink>
      <w:r>
        <w:rPr>
          <w:rFonts w:ascii="仿宋" w:eastAsia="仿宋" w:hAnsi="仿宋" w:cs="仿宋_GB2312"/>
          <w:color w:val="000000" w:themeColor="text1"/>
          <w:sz w:val="32"/>
          <w:szCs w:val="32"/>
        </w:rPr>
        <w:t>环境保护产品技术要求</w:t>
      </w:r>
      <w:r>
        <w:rPr>
          <w:rFonts w:ascii="仿宋" w:eastAsia="仿宋" w:hAnsi="仿宋" w:cs="仿宋_GB2312"/>
          <w:color w:val="000000" w:themeColor="text1"/>
          <w:sz w:val="32"/>
          <w:szCs w:val="32"/>
        </w:rPr>
        <w:t xml:space="preserve"> </w:t>
      </w:r>
      <w:r>
        <w:rPr>
          <w:rFonts w:ascii="仿宋" w:eastAsia="仿宋" w:hAnsi="仿宋" w:cs="仿宋_GB2312"/>
          <w:color w:val="000000" w:themeColor="text1"/>
          <w:sz w:val="32"/>
          <w:szCs w:val="32"/>
        </w:rPr>
        <w:t>膜生物反应器</w:t>
      </w:r>
      <w:r>
        <w:rPr>
          <w:rFonts w:ascii="仿宋" w:eastAsia="仿宋" w:hAnsi="仿宋" w:cs="仿宋_GB2312"/>
          <w:color w:val="000000" w:themeColor="text1"/>
          <w:sz w:val="32"/>
          <w:szCs w:val="32"/>
        </w:rPr>
        <w:t>HJ 2527-2012</w:t>
      </w:r>
      <w:r>
        <w:rPr>
          <w:rFonts w:ascii="仿宋" w:eastAsia="仿宋" w:hAnsi="仿宋" w:cs="仿宋_GB2312"/>
          <w:color w:val="000000" w:themeColor="text1"/>
          <w:sz w:val="32"/>
          <w:szCs w:val="32"/>
        </w:rPr>
        <w:t>》</w:t>
      </w:r>
      <w:r>
        <w:rPr>
          <w:rFonts w:ascii="仿宋" w:eastAsia="仿宋" w:hAnsi="仿宋" w:cs="仿宋_GB2312" w:hint="eastAsia"/>
          <w:color w:val="000000" w:themeColor="text1"/>
          <w:sz w:val="32"/>
          <w:szCs w:val="32"/>
        </w:rPr>
        <w:lastRenderedPageBreak/>
        <w:t>相关规定，生物接触氧化池的维护应符合</w:t>
      </w:r>
      <w:r>
        <w:rPr>
          <w:rFonts w:ascii="仿宋" w:eastAsia="仿宋" w:hAnsi="仿宋" w:cs="仿宋_GB2312"/>
          <w:color w:val="000000" w:themeColor="text1"/>
          <w:sz w:val="32"/>
          <w:szCs w:val="32"/>
        </w:rPr>
        <w:t>《</w:t>
      </w:r>
      <w:r>
        <w:rPr>
          <w:rFonts w:ascii="仿宋" w:eastAsia="仿宋" w:hAnsi="仿宋" w:cs="仿宋_GB2312"/>
          <w:color w:val="000000" w:themeColor="text1"/>
          <w:sz w:val="32"/>
          <w:szCs w:val="32"/>
        </w:rPr>
        <w:t>H</w:t>
      </w:r>
      <w:r>
        <w:rPr>
          <w:rFonts w:ascii="仿宋" w:eastAsia="仿宋" w:hAnsi="仿宋" w:cs="仿宋_GB2312"/>
          <w:color w:val="000000" w:themeColor="text1"/>
          <w:sz w:val="32"/>
          <w:szCs w:val="32"/>
        </w:rPr>
        <w:t xml:space="preserve">J2009 </w:t>
      </w:r>
      <w:r>
        <w:rPr>
          <w:rFonts w:ascii="仿宋" w:eastAsia="仿宋" w:hAnsi="仿宋" w:cs="仿宋_GB2312"/>
          <w:color w:val="000000" w:themeColor="text1"/>
          <w:sz w:val="32"/>
          <w:szCs w:val="32"/>
        </w:rPr>
        <w:t>生物接触氧化法污水处理工程技术规范》</w:t>
      </w:r>
      <w:r>
        <w:rPr>
          <w:rFonts w:ascii="仿宋" w:eastAsia="仿宋" w:hAnsi="仿宋" w:cs="仿宋_GB2312" w:hint="eastAsia"/>
          <w:color w:val="000000" w:themeColor="text1"/>
          <w:sz w:val="32"/>
          <w:szCs w:val="32"/>
        </w:rPr>
        <w:t>相关规定，泵、鼓风机等其他主要设备的维护应符合相关规定；</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污水处理设施表面无破损，保持清洁，无青苔、杂物和污物等，周围无杂草丛生、无杂物堆放；</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污水处理设施内外墙面应无破损、裂缝，无乱堆乱放现象，保持清洁、美观。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污水检查井、接户井、管道（沟渠）无污水溢出，管网完好通畅。</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污水提升泵站无杂物堆放，设施表面无明显破损、污物等，设施运行正常。</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（二）格栅</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及时处理或处置栅渣；</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检查格栅或人工清捞栅渣时，应根据环境条件采取确保人员安全的防护措施；</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定期对栅条校正，更换或改造已损坏或不规范的格栅。</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（三）厌氧池</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及时清除池体内泡沫、漂浮物等垃圾，保持进出水槽清洁；</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定期检查池体内填料有无出现松动、缠绕、结块等现象，情况严重的应及时组织维修；</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定期检查通风设施，及时疏通被堵塞的通风设施。</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（四）人工湿地</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1.</w:t>
      </w:r>
      <w:r>
        <w:rPr>
          <w:rFonts w:ascii="仿宋" w:eastAsia="仿宋" w:hAnsi="仿宋" w:cs="仿宋_GB2312" w:hint="eastAsia"/>
          <w:color w:val="000000" w:themeColor="text1"/>
          <w:sz w:val="32"/>
          <w:szCs w:val="32"/>
        </w:rPr>
        <w:t>定期检查进水装置，进行水位调节，不应出现短流、进水端壅水和出水端淹没等现象；</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适当采用间歇运行方式，定期启动清淤，局部更换人工湿地系统基质，防止湿地运行中堵</w:t>
      </w:r>
      <w:r>
        <w:rPr>
          <w:rFonts w:ascii="仿宋" w:eastAsia="仿宋" w:hAnsi="仿宋" w:cs="仿宋_GB2312" w:hint="eastAsia"/>
          <w:color w:val="000000" w:themeColor="text1"/>
          <w:sz w:val="32"/>
          <w:szCs w:val="32"/>
        </w:rPr>
        <w:t>塞现象；</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植物管理维护要求；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）运行期间应对枯萎植物、落叶等及时清理；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）不应使用除草剂、杀虫剂等易破坏生态系统的药剂；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）进行缺苗补种、杂草清除、适时收割以及控制病虫害等管理；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）可选择多品种植物分区搭配种植，增加植物的多样性、景观效果以及减少病虫害；</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）人工湿地植物根据植物生物学和生态学特性进行种苗规格和种植密度设计；</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6</w:t>
      </w:r>
      <w:r>
        <w:rPr>
          <w:rFonts w:ascii="仿宋" w:eastAsia="仿宋" w:hAnsi="仿宋" w:cs="仿宋_GB2312" w:hint="eastAsia"/>
          <w:color w:val="000000" w:themeColor="text1"/>
          <w:sz w:val="32"/>
          <w:szCs w:val="32"/>
        </w:rPr>
        <w:t>）植物系统建立后，应保持水生植物的密度与良性生长；</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7</w:t>
      </w:r>
      <w:r>
        <w:rPr>
          <w:rFonts w:ascii="仿宋" w:eastAsia="仿宋" w:hAnsi="仿宋" w:cs="仿宋_GB2312" w:hint="eastAsia"/>
          <w:color w:val="000000" w:themeColor="text1"/>
          <w:sz w:val="32"/>
          <w:szCs w:val="32"/>
        </w:rPr>
        <w:t>）应及时移除处理系统内外来物种；</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8</w:t>
      </w:r>
      <w:r>
        <w:rPr>
          <w:rFonts w:ascii="仿宋" w:eastAsia="仿宋" w:hAnsi="仿宋" w:cs="仿宋_GB2312" w:hint="eastAsia"/>
          <w:color w:val="000000" w:themeColor="text1"/>
          <w:sz w:val="32"/>
          <w:szCs w:val="32"/>
        </w:rPr>
        <w:t>）湿地床上植物发生歪倒，要及时扶培，排除积水；</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9</w:t>
      </w:r>
      <w:r>
        <w:rPr>
          <w:rFonts w:ascii="仿宋" w:eastAsia="仿宋" w:hAnsi="仿宋" w:cs="仿宋_GB2312" w:hint="eastAsia"/>
          <w:color w:val="000000" w:themeColor="text1"/>
          <w:sz w:val="32"/>
          <w:szCs w:val="32"/>
        </w:rPr>
        <w:t>）运营维护期应定期全面割除（捞取）湿地植物，割除（捞取）后植物残株，应带离场，及时处理。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（五）稳定塘（生态沟渠）</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应保持无废渣、漂浮碎片或其他垃圾，进出水口应保持水流通畅；</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2.</w:t>
      </w:r>
      <w:r>
        <w:rPr>
          <w:rFonts w:ascii="仿宋" w:eastAsia="仿宋" w:hAnsi="仿宋" w:cs="仿宋_GB2312" w:hint="eastAsia"/>
          <w:color w:val="000000" w:themeColor="text1"/>
          <w:sz w:val="32"/>
          <w:szCs w:val="32"/>
        </w:rPr>
        <w:t>应保持水生植物生长良好，水生植物表面覆盖率控制在</w:t>
      </w:r>
      <w:r>
        <w:rPr>
          <w:rFonts w:ascii="仿宋" w:eastAsia="仿宋" w:hAnsi="仿宋" w:cs="仿宋_GB2312" w:hint="eastAsia"/>
          <w:color w:val="000000" w:themeColor="text1"/>
          <w:sz w:val="32"/>
          <w:szCs w:val="32"/>
        </w:rPr>
        <w:t>50%</w:t>
      </w:r>
      <w:r>
        <w:rPr>
          <w:rFonts w:ascii="仿宋" w:eastAsia="仿宋" w:hAnsi="仿宋" w:cs="仿宋_GB2312" w:hint="eastAsia"/>
          <w:color w:val="000000" w:themeColor="text1"/>
          <w:sz w:val="32"/>
          <w:szCs w:val="32"/>
        </w:rPr>
        <w:t>以下，及时清理浮渣与枯枝烂叶；</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应定期清理底泥；</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保持塘堤（沟堤）建筑物及栅栏完好；</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无明显臭味。</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（六）膜生物反应器</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保证设施正常、连续运行，水质水量达到设计要求；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按要求定期清洗膜组件，以确保其有效持久运行；</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当污水中含有大量的合成洗涤剂或其</w:t>
      </w:r>
      <w:r>
        <w:rPr>
          <w:rFonts w:ascii="仿宋" w:eastAsia="仿宋" w:hAnsi="仿宋" w:cs="仿宋_GB2312" w:hint="eastAsia"/>
          <w:color w:val="000000" w:themeColor="text1"/>
          <w:sz w:val="32"/>
          <w:szCs w:val="32"/>
        </w:rPr>
        <w:t>他起泡物质时，膜生物反应池会出现大量泡沫，不应投加硅质消泡剂，可采取喷水的方法解决；</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膜生物反应池出水浑浊，应重点检查膜组器和集水管路上的连接件是否松动或损坏，如有损坏应维修或更换。</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（七）生物接触氧化池</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保证设施正常运行；</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及时清除池体内的泡沫、漂浮物等垃圾；</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定期检查池体内填料有无出现松动、缠绕、结块等现象，情况严重的及时对填料进行更换；</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定期检查曝气设施动作是否正常，有无明显破损、断裂等，如有损坏，及时组织维修。</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（八）泵</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水泵养护按照生产厂家的相关说明执行。</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（九）鼓风机</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鼓风机养护按照生产厂家的相关说明执行。</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（十）其他附属设施</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流量测量装置：每日记录检查是否正常；</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阀件与管路设施：每日确认阀件设备是否正常，通水管路是否有淤塞现象；每月手动测试阀件开关，并确认恢复正常开阀位置；每月测试通水管路内壁疏通状况，并确认通水管路是否有破损和阻塞现象；</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金属构件发现有局部锈斑、针状锈迹时，应及时除锈补漆。当涂层普遍出现剥落、鼓泡、龟裂、明显粉化等老化现象时，应全部重做新的防腐涂层或封闭涂层；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护栏、栏杆、爬梯、扶梯以及格栅等应保持完好。如变形、损伤严重，危及使用和安全功能的，应立即予以整修或更换；</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水尺、标志牌、警示牌等出现缺损、变形，应及时维修或更换；</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6.</w:t>
      </w:r>
      <w:r>
        <w:rPr>
          <w:rFonts w:ascii="仿宋" w:eastAsia="仿宋" w:hAnsi="仿宋" w:cs="仿宋_GB2312" w:hint="eastAsia"/>
          <w:color w:val="000000" w:themeColor="text1"/>
          <w:sz w:val="32"/>
          <w:szCs w:val="32"/>
        </w:rPr>
        <w:t>信息公示牌按规格设置，缺损、老化应及时维修或更换，公示牌中单位和人员信息发生变更，应及时完成更新；</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7.</w:t>
      </w:r>
      <w:r>
        <w:rPr>
          <w:rFonts w:ascii="仿宋" w:eastAsia="仿宋" w:hAnsi="仿宋" w:cs="仿宋_GB2312" w:hint="eastAsia"/>
          <w:color w:val="000000" w:themeColor="text1"/>
          <w:sz w:val="32"/>
          <w:szCs w:val="32"/>
        </w:rPr>
        <w:t>供配电设施如有缺损或不符合安全用电的相关规定，应及时整修和维护。</w:t>
      </w:r>
    </w:p>
    <w:p w:rsidR="003D04EE" w:rsidRDefault="003D04E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p>
    <w:p w:rsidR="003D04EE" w:rsidRDefault="003F2E0E">
      <w:pPr>
        <w:pStyle w:val="a7"/>
        <w:numPr>
          <w:ilvl w:val="0"/>
          <w:numId w:val="2"/>
        </w:numPr>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污水处理设施维修</w:t>
      </w:r>
      <w:r>
        <w:rPr>
          <w:rFonts w:ascii="黑体" w:eastAsia="黑体" w:hAnsi="黑体" w:cs="仿宋_GB2312" w:hint="eastAsia"/>
          <w:color w:val="000000" w:themeColor="text1"/>
          <w:sz w:val="32"/>
          <w:szCs w:val="32"/>
        </w:rPr>
        <w:t xml:space="preserve"> </w:t>
      </w:r>
    </w:p>
    <w:p w:rsidR="003D04EE" w:rsidRDefault="003F2E0E">
      <w:pPr>
        <w:pStyle w:val="a7"/>
        <w:shd w:val="clear" w:color="auto" w:fill="FFFFFF"/>
        <w:spacing w:before="0" w:beforeAutospacing="0" w:after="0" w:afterAutospacing="0" w:line="560" w:lineRule="exact"/>
        <w:ind w:firstLine="63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农村生活污水处理设施维修工程按工程性质和工程规模可分大修、中修和小修三个等级（表</w:t>
      </w:r>
      <w:r>
        <w:rPr>
          <w:rFonts w:ascii="仿宋" w:eastAsia="仿宋" w:hAnsi="仿宋" w:cs="仿宋_GB2312" w:hint="eastAsia"/>
          <w:color w:val="000000" w:themeColor="text1"/>
          <w:sz w:val="32"/>
          <w:szCs w:val="32"/>
        </w:rPr>
        <w:t>6</w:t>
      </w:r>
      <w:r>
        <w:rPr>
          <w:rFonts w:ascii="仿宋" w:eastAsia="仿宋" w:hAnsi="仿宋" w:cs="仿宋_GB2312" w:hint="eastAsia"/>
          <w:color w:val="000000" w:themeColor="text1"/>
          <w:sz w:val="32"/>
          <w:szCs w:val="32"/>
        </w:rPr>
        <w:t>）。小修工程纳入日常管养维修范围，大中修工程属专项</w:t>
      </w:r>
      <w:r>
        <w:rPr>
          <w:rFonts w:ascii="仿宋" w:eastAsia="仿宋" w:hAnsi="仿宋" w:cs="仿宋_GB2312" w:hint="eastAsia"/>
          <w:color w:val="000000" w:themeColor="text1"/>
          <w:sz w:val="32"/>
          <w:szCs w:val="32"/>
        </w:rPr>
        <w:t>工程，由管养单位向固定资产权属单位提出专项维修工程需求。</w:t>
      </w:r>
    </w:p>
    <w:p w:rsidR="003D04EE" w:rsidRDefault="003D04EE">
      <w:pPr>
        <w:pStyle w:val="a7"/>
        <w:shd w:val="clear" w:color="auto" w:fill="FFFFFF"/>
        <w:spacing w:before="0" w:beforeAutospacing="0" w:after="0" w:afterAutospacing="0" w:line="480" w:lineRule="atLeast"/>
        <w:jc w:val="center"/>
        <w:rPr>
          <w:rFonts w:ascii="黑体" w:eastAsia="黑体" w:hAnsi="黑体" w:cs="仿宋_GB2312"/>
          <w:color w:val="000000" w:themeColor="text1"/>
          <w:sz w:val="32"/>
          <w:szCs w:val="32"/>
        </w:rPr>
      </w:pPr>
    </w:p>
    <w:p w:rsidR="003D04EE" w:rsidRDefault="003F2E0E">
      <w:pPr>
        <w:pStyle w:val="a7"/>
        <w:shd w:val="clear" w:color="auto" w:fill="FFFFFF"/>
        <w:spacing w:before="0" w:beforeAutospacing="0" w:after="0" w:afterAutospacing="0" w:line="480" w:lineRule="atLeas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表</w:t>
      </w:r>
      <w:r>
        <w:rPr>
          <w:rFonts w:ascii="黑体" w:eastAsia="黑体" w:hAnsi="黑体" w:cs="仿宋_GB2312" w:hint="eastAsia"/>
          <w:color w:val="000000" w:themeColor="text1"/>
          <w:sz w:val="32"/>
          <w:szCs w:val="32"/>
        </w:rPr>
        <w:t xml:space="preserve">6  </w:t>
      </w:r>
      <w:r>
        <w:rPr>
          <w:rFonts w:ascii="黑体" w:eastAsia="黑体" w:hAnsi="黑体" w:cs="仿宋_GB2312" w:hint="eastAsia"/>
          <w:color w:val="000000" w:themeColor="text1"/>
          <w:sz w:val="32"/>
          <w:szCs w:val="32"/>
        </w:rPr>
        <w:t>污水处理设施维修工程分类情况</w:t>
      </w:r>
    </w:p>
    <w:tbl>
      <w:tblPr>
        <w:tblStyle w:val="a9"/>
        <w:tblW w:w="0" w:type="auto"/>
        <w:tblLook w:val="04A0" w:firstRow="1" w:lastRow="0" w:firstColumn="1" w:lastColumn="0" w:noHBand="0" w:noVBand="1"/>
      </w:tblPr>
      <w:tblGrid>
        <w:gridCol w:w="1668"/>
        <w:gridCol w:w="6854"/>
      </w:tblGrid>
      <w:tr w:rsidR="003D04EE">
        <w:tc>
          <w:tcPr>
            <w:tcW w:w="1668"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工程种类</w:t>
            </w:r>
          </w:p>
        </w:tc>
        <w:tc>
          <w:tcPr>
            <w:tcW w:w="6854"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工程性质</w:t>
            </w:r>
          </w:p>
        </w:tc>
      </w:tr>
      <w:tr w:rsidR="003D04EE">
        <w:tc>
          <w:tcPr>
            <w:tcW w:w="1668"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position w:val="-51"/>
                <w:sz w:val="28"/>
                <w:szCs w:val="28"/>
              </w:rPr>
              <w:t>小修工程</w:t>
            </w:r>
          </w:p>
        </w:tc>
        <w:tc>
          <w:tcPr>
            <w:tcW w:w="6854" w:type="dxa"/>
          </w:tcPr>
          <w:p w:rsidR="003D04EE" w:rsidRDefault="003F2E0E">
            <w:pPr>
              <w:pStyle w:val="a7"/>
              <w:spacing w:before="0" w:beforeAutospacing="0" w:after="0" w:afterAutospacing="0" w:line="480" w:lineRule="atLeast"/>
              <w:rPr>
                <w:rFonts w:ascii="仿宋" w:eastAsia="仿宋" w:hAnsi="仿宋" w:cs="仿宋_GB2312"/>
                <w:color w:val="000000" w:themeColor="text1"/>
              </w:rPr>
            </w:pPr>
            <w:r>
              <w:rPr>
                <w:rFonts w:ascii="仿宋" w:eastAsia="仿宋" w:hAnsi="仿宋" w:cs="仿宋_GB2312" w:hint="eastAsia"/>
                <w:color w:val="000000" w:themeColor="text1"/>
              </w:rPr>
              <w:t>为了保持设施完整和运行效果所进行的日常维修或恢复设施原有的功能进行局部维修、更换和调整。</w:t>
            </w:r>
          </w:p>
        </w:tc>
      </w:tr>
      <w:tr w:rsidR="003D04EE">
        <w:tc>
          <w:tcPr>
            <w:tcW w:w="1668"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position w:val="-85"/>
                <w:sz w:val="28"/>
                <w:szCs w:val="28"/>
              </w:rPr>
              <w:t>中修工程</w:t>
            </w:r>
          </w:p>
        </w:tc>
        <w:tc>
          <w:tcPr>
            <w:tcW w:w="6854" w:type="dxa"/>
          </w:tcPr>
          <w:p w:rsidR="003D04EE" w:rsidRDefault="003F2E0E">
            <w:pPr>
              <w:pStyle w:val="a7"/>
              <w:spacing w:before="0" w:beforeAutospacing="0" w:after="0" w:afterAutospacing="0" w:line="480" w:lineRule="atLeast"/>
              <w:rPr>
                <w:rFonts w:ascii="仿宋" w:eastAsia="仿宋" w:hAnsi="仿宋" w:cs="仿宋_GB2312"/>
                <w:color w:val="000000" w:themeColor="text1"/>
              </w:rPr>
            </w:pPr>
            <w:r>
              <w:rPr>
                <w:rFonts w:ascii="仿宋" w:eastAsia="仿宋" w:hAnsi="仿宋" w:cs="仿宋_GB2312" w:hint="eastAsia"/>
                <w:color w:val="000000" w:themeColor="text1"/>
              </w:rPr>
              <w:t>改善治理设施的污水处理功能为主的局部恢复工程。包括更换和修复系统主要部分，检查整个系统并调整校正，使其能达到应有的技术标准。</w:t>
            </w:r>
          </w:p>
        </w:tc>
      </w:tr>
      <w:tr w:rsidR="003D04EE">
        <w:tc>
          <w:tcPr>
            <w:tcW w:w="1668" w:type="dxa"/>
          </w:tcPr>
          <w:p w:rsidR="003D04EE" w:rsidRDefault="003F2E0E">
            <w:pPr>
              <w:pStyle w:val="a7"/>
              <w:spacing w:before="0" w:beforeAutospacing="0" w:after="0" w:afterAutospacing="0" w:line="480" w:lineRule="atLeast"/>
              <w:jc w:val="center"/>
              <w:rPr>
                <w:rFonts w:ascii="仿宋" w:eastAsia="仿宋" w:hAnsi="仿宋" w:cs="仿宋_GB2312"/>
                <w:color w:val="000000" w:themeColor="text1"/>
                <w:sz w:val="28"/>
                <w:szCs w:val="28"/>
              </w:rPr>
            </w:pPr>
            <w:r>
              <w:rPr>
                <w:rFonts w:ascii="仿宋" w:eastAsia="仿宋" w:hAnsi="仿宋" w:cs="仿宋_GB2312" w:hint="eastAsia"/>
                <w:color w:val="000000" w:themeColor="text1"/>
                <w:position w:val="-51"/>
                <w:sz w:val="28"/>
                <w:szCs w:val="28"/>
              </w:rPr>
              <w:t>大修工程</w:t>
            </w:r>
          </w:p>
        </w:tc>
        <w:tc>
          <w:tcPr>
            <w:tcW w:w="6854" w:type="dxa"/>
          </w:tcPr>
          <w:p w:rsidR="003D04EE" w:rsidRDefault="003F2E0E">
            <w:pPr>
              <w:pStyle w:val="a7"/>
              <w:spacing w:before="0" w:beforeAutospacing="0" w:after="0" w:afterAutospacing="0" w:line="480" w:lineRule="atLeast"/>
              <w:rPr>
                <w:rFonts w:ascii="仿宋" w:eastAsia="仿宋" w:hAnsi="仿宋" w:cs="仿宋_GB2312"/>
                <w:color w:val="000000" w:themeColor="text1"/>
              </w:rPr>
            </w:pPr>
            <w:r>
              <w:rPr>
                <w:rFonts w:ascii="仿宋" w:eastAsia="仿宋" w:hAnsi="仿宋" w:cs="仿宋_GB2312" w:hint="eastAsia"/>
                <w:color w:val="000000" w:themeColor="text1"/>
              </w:rPr>
              <w:t>治理设施的翻新加固工程，以恢复治理设施原有功能或综合性维修为主的维修工程。</w:t>
            </w:r>
          </w:p>
        </w:tc>
      </w:tr>
    </w:tbl>
    <w:p w:rsidR="003D04EE" w:rsidRDefault="003D04EE">
      <w:pPr>
        <w:pStyle w:val="a7"/>
        <w:shd w:val="clear" w:color="auto" w:fill="FFFFFF"/>
        <w:spacing w:before="0" w:beforeAutospacing="0" w:after="0" w:afterAutospacing="0" w:line="480" w:lineRule="atLeast"/>
        <w:rPr>
          <w:rFonts w:ascii="黑体" w:eastAsia="黑体" w:hAnsi="黑体" w:cs="仿宋_GB2312"/>
          <w:color w:val="000000" w:themeColor="text1"/>
          <w:sz w:val="32"/>
          <w:szCs w:val="32"/>
        </w:rPr>
      </w:pPr>
    </w:p>
    <w:p w:rsidR="003D04EE" w:rsidRDefault="003F2E0E">
      <w:pPr>
        <w:pStyle w:val="a7"/>
        <w:numPr>
          <w:ilvl w:val="255"/>
          <w:numId w:val="0"/>
        </w:numPr>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第三十一条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针对小修工程，管养单位在设备维修前应对设备状态进行评估，设备维修后，应对设备能力进行评估，履行相应的验收手续，整理好维修记录（参照附录</w:t>
      </w:r>
      <w:r>
        <w:rPr>
          <w:rFonts w:ascii="仿宋" w:eastAsia="仿宋" w:hAnsi="仿宋" w:cs="仿宋_GB2312" w:hint="eastAsia"/>
          <w:color w:val="000000" w:themeColor="text1"/>
          <w:sz w:val="32"/>
          <w:szCs w:val="32"/>
        </w:rPr>
        <w:t>C</w:t>
      </w:r>
      <w:r>
        <w:rPr>
          <w:rFonts w:ascii="仿宋" w:eastAsia="仿宋" w:hAnsi="仿宋" w:cs="仿宋_GB2312" w:hint="eastAsia"/>
          <w:color w:val="000000" w:themeColor="text1"/>
          <w:sz w:val="32"/>
          <w:szCs w:val="32"/>
        </w:rPr>
        <w:t>），并归档。大中修工程，应按法律法规、上位规定及招投标合同等办理验收。</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第三十二条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污水处理设施维修应符合以下要求：</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（一）当处理设施出现坍塌、壅水、渗漏等情况，影响了系统的正常运行，应查成因及其危害程度，据以确定维修措施，立即组织应急措施，并按类别，开展维修工作；</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（二）处理设施设备应按照设备技术说明书的相关要求开展设备维修，在使用过程中设备维修可根据实际情况调整；</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（三）设备维修内容包括整机（或主要部件）的拆装检查修复基准件、更换或修复故障零配件、恢复设备精度和性能等</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（四）处理设施设备应按厂商或设计要求以及设备使用和运行的实际情况进行维修，达到设计使用寿命，应以专项更新改造工程申报处理；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（五）池体盖板有断裂、腐蚀情况应及时更换；</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（六）人工湿地、生态沟渠或稳定塘中水生植物稀疏、枯死冻死，应在半个月内进行水生植物补植工作；</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（七）当处理设施内基质堵塞、结块，并出现壅水现象，宜及时疏通或更换基质以防情况恶化；</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（八）膜生物反应器的膜在使用中造成损坏，清洗不能恢复其功能</w:t>
      </w:r>
      <w:r>
        <w:rPr>
          <w:rFonts w:ascii="仿宋" w:eastAsia="仿宋" w:hAnsi="仿宋" w:cs="仿宋_GB2312" w:hint="eastAsia"/>
          <w:color w:val="000000" w:themeColor="text1"/>
          <w:sz w:val="32"/>
          <w:szCs w:val="32"/>
        </w:rPr>
        <w:t>时，应由专业人员进行膜更换。</w:t>
      </w:r>
    </w:p>
    <w:p w:rsidR="003D04EE" w:rsidRDefault="003D04EE">
      <w:pPr>
        <w:pStyle w:val="a7"/>
        <w:shd w:val="clear" w:color="auto" w:fill="FFFFFF"/>
        <w:spacing w:before="0" w:beforeAutospacing="0" w:after="0" w:afterAutospacing="0" w:line="560" w:lineRule="exact"/>
        <w:jc w:val="center"/>
        <w:outlineLvl w:val="0"/>
        <w:rPr>
          <w:rFonts w:ascii="黑体" w:eastAsia="黑体" w:hAnsi="黑体" w:cs="仿宋_GB2312"/>
          <w:color w:val="000000" w:themeColor="text1"/>
          <w:sz w:val="32"/>
          <w:szCs w:val="32"/>
        </w:rPr>
      </w:pPr>
    </w:p>
    <w:p w:rsidR="003D04EE" w:rsidRDefault="003F2E0E">
      <w:pPr>
        <w:pStyle w:val="a7"/>
        <w:shd w:val="clear" w:color="auto" w:fill="FFFFFF"/>
        <w:spacing w:before="0" w:beforeAutospacing="0" w:after="0" w:afterAutospacing="0" w:line="560" w:lineRule="exact"/>
        <w:jc w:val="center"/>
        <w:outlineLvl w:val="0"/>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第八章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污泥处置管理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第三十三条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生化系统应定期排泥，确保系统有效运行。</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第三十四条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污泥处理、处置方式应根据农村生活污水处理工程规模、污泥产生量、污泥资源化利用途径泥质等条件进行选择，污泥存放、运输及处置应</w:t>
      </w:r>
      <w:r>
        <w:rPr>
          <w:rFonts w:ascii="仿宋" w:eastAsia="仿宋" w:hAnsi="仿宋" w:cs="仿宋_GB2312" w:hint="eastAsia"/>
          <w:sz w:val="32"/>
          <w:szCs w:val="32"/>
        </w:rPr>
        <w:t>符合</w:t>
      </w:r>
      <w:r>
        <w:rPr>
          <w:rFonts w:ascii="仿宋" w:eastAsia="仿宋" w:hAnsi="仿宋" w:cs="仿宋_GB2312" w:hint="eastAsia"/>
          <w:color w:val="000000" w:themeColor="text1"/>
          <w:sz w:val="32"/>
          <w:szCs w:val="32"/>
        </w:rPr>
        <w:t>法律法规、上级文件或行业标准的有关规定，运输过程宜保持密闭状态，防止余泥沿途洒落和臭气散发，并建立污泥转移联单制度</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参考城镇生活污水处理厂生活污泥转移联单</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。同时应制定与污泥处置有关的管理制度、责任制度和发生意外状况时的应急预案。</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（一）堆肥处理。可通过简易堆肥形成有</w:t>
      </w:r>
      <w:r>
        <w:rPr>
          <w:rFonts w:ascii="仿宋" w:eastAsia="仿宋" w:hAnsi="仿宋" w:cs="仿宋_GB2312" w:hint="eastAsia"/>
          <w:color w:val="000000" w:themeColor="text1"/>
          <w:sz w:val="32"/>
          <w:szCs w:val="32"/>
        </w:rPr>
        <w:t>机质肥料，回用于农田；也可先单独储存，然后定期收集到干化场处理，污泥熟化后再进行回用</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园林绿化、林地利用、农田等</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（二）焚烧、填埋处理。将污泥进行收集，并运送到集中的污泥处理场地或城镇污水处理厂进行污泥消化、脱水处理，处理后污泥中污染物浓度符合《城镇污水处理厂污泥处置农用泥质》（</w:t>
      </w:r>
      <w:r>
        <w:rPr>
          <w:rFonts w:ascii="仿宋" w:eastAsia="仿宋" w:hAnsi="仿宋" w:cs="仿宋_GB2312" w:hint="eastAsia"/>
          <w:color w:val="000000" w:themeColor="text1"/>
          <w:sz w:val="32"/>
          <w:szCs w:val="32"/>
        </w:rPr>
        <w:t>CJ/T309-2009)</w:t>
      </w:r>
      <w:r>
        <w:rPr>
          <w:rFonts w:ascii="仿宋" w:eastAsia="仿宋" w:hAnsi="仿宋" w:cs="仿宋_GB2312" w:hint="eastAsia"/>
          <w:color w:val="000000" w:themeColor="text1"/>
          <w:sz w:val="32"/>
          <w:szCs w:val="32"/>
        </w:rPr>
        <w:t>规定的，可作为农用泥质利用。不符合有关标准规定的，采取焚烧、填埋等处理处置方式。</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（三）部分处理系统（如稳定塘）排出的污泥可进行自然干化处理。</w:t>
      </w:r>
    </w:p>
    <w:p w:rsidR="003D04EE" w:rsidRDefault="003D04E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第九章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制度管理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第三十五条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运行维护单位应当建立“一村一台帐”运行维护管理制度，台账内容包括：</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（一）日常运行维护管理记录（含巡查时间、范围、点位、设施运行及处理情况等）；</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（二）重大故障、严重问题报告及处理结果记录；</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（三）进出水水量、水质观测监测记录；</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（四）年度检修测试记录。</w:t>
      </w:r>
    </w:p>
    <w:p w:rsidR="003D04EE" w:rsidRDefault="003F2E0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第三十六条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建立运维管理情况报告制度。运行维护单位应当每月向镇</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街</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报送运行维护情况。镇</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街</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管理人员收到资料后，应当每月至少组织相关人员到现场抽查一次，并将相关情况汇总整理，每季度报区城市管理和综合执法局备案。区城市管理和综合执法局每季度不少于一次到现场进行抽查。</w:t>
      </w:r>
    </w:p>
    <w:p w:rsidR="003D04EE" w:rsidRDefault="003F2E0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运行维护报告内容如下：</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 xml:space="preserve">　　（一）运行维护报表（含处理水量、耗电量、巡查记录、设备完好率、设备养护记录等）；</w:t>
      </w:r>
    </w:p>
    <w:p w:rsidR="003D04EE" w:rsidRDefault="003F2E0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（二）污水收集管网严重漏损及采取工程措施修复情况；</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（三）处理系统出水水量、水质出现异常等情况；</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（四）设施设备大中修等情况；</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（五）</w:t>
      </w:r>
      <w:r>
        <w:rPr>
          <w:rFonts w:ascii="仿宋" w:eastAsia="仿宋" w:hAnsi="仿宋" w:cs="仿宋_GB2312" w:hint="eastAsia"/>
          <w:color w:val="000000" w:themeColor="text1"/>
          <w:sz w:val="32"/>
          <w:szCs w:val="32"/>
        </w:rPr>
        <w:t>可能影响污水处理系统正常运行的自然或人为因素等情况。</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第三十七条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建立运维管理公示制度。运行维护单位应当在村适当位置公示运维范围、标准、巡检时间、工作人员及其联系电话、责任人监督电话等内容，接受当地村民监督。</w:t>
      </w:r>
    </w:p>
    <w:p w:rsidR="003D04EE" w:rsidRDefault="003F2E0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第三十八条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区城市管理和综合执法局、镇</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街</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应当在加强农村生活污水处理设施管理的同时，积极开展管理信息化应用，可综合运用互联网、物联网等技术，实施远程监控，掌握设施运行动态。</w:t>
      </w:r>
    </w:p>
    <w:p w:rsidR="003D04EE" w:rsidRDefault="003D04EE">
      <w:pPr>
        <w:pStyle w:val="a7"/>
        <w:shd w:val="clear" w:color="auto" w:fill="FFFFFF"/>
        <w:spacing w:before="0" w:beforeAutospacing="0" w:after="0" w:afterAutospacing="0" w:line="560" w:lineRule="exact"/>
        <w:ind w:firstLine="640"/>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560" w:lineRule="exact"/>
        <w:ind w:firstLineChars="200" w:firstLine="640"/>
        <w:jc w:val="center"/>
        <w:rPr>
          <w:rFonts w:ascii="仿宋" w:eastAsia="仿宋" w:hAnsi="仿宋" w:cs="仿宋_GB2312"/>
          <w:color w:val="000000" w:themeColor="text1"/>
          <w:sz w:val="32"/>
          <w:szCs w:val="32"/>
        </w:rPr>
      </w:pPr>
      <w:r>
        <w:rPr>
          <w:rFonts w:ascii="黑体" w:eastAsia="黑体" w:hAnsi="黑体" w:cs="仿宋_GB2312" w:hint="eastAsia"/>
          <w:color w:val="000000" w:themeColor="text1"/>
          <w:sz w:val="32"/>
          <w:szCs w:val="32"/>
        </w:rPr>
        <w:t>第十章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安全与应急管理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第三十九条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运维单位应建立完善的安全管理制度，运维人员应经过技术培训合格后方可上岗，特种作业人</w:t>
      </w:r>
      <w:r>
        <w:rPr>
          <w:rFonts w:ascii="仿宋" w:eastAsia="仿宋" w:hAnsi="仿宋" w:cs="仿宋_GB2312" w:hint="eastAsia"/>
          <w:color w:val="000000" w:themeColor="text1"/>
          <w:sz w:val="32"/>
          <w:szCs w:val="32"/>
        </w:rPr>
        <w:t>员需持证上岗。运维人员应严格执行本岗位安全操作规程，特别要严防燃爆、触电、中毒、滑跌、溺水、机械伤害等事故的发生，并熟悉相应的急救方法。</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运维单位应做好极端天气的停电、设备故障等异常情况应对措施，向主管部门报备。</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lastRenderedPageBreak/>
        <w:t>第四十一条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对可能含有有毒有害气体或可燃性气体的深井、管道、构筑物等设施、设备进行的维护、清掏、维修操作，应按现行行业标准《城镇排水管道维护安全技术规程》</w:t>
      </w:r>
      <w:r>
        <w:rPr>
          <w:rFonts w:ascii="仿宋" w:eastAsia="仿宋" w:hAnsi="仿宋" w:cs="仿宋_GB2312" w:hint="eastAsia"/>
          <w:color w:val="000000" w:themeColor="text1"/>
          <w:sz w:val="32"/>
          <w:szCs w:val="32"/>
        </w:rPr>
        <w:t>CJJ6</w:t>
      </w:r>
      <w:r>
        <w:rPr>
          <w:rFonts w:ascii="仿宋" w:eastAsia="仿宋" w:hAnsi="仿宋" w:cs="仿宋_GB2312" w:hint="eastAsia"/>
          <w:color w:val="000000" w:themeColor="text1"/>
          <w:sz w:val="32"/>
          <w:szCs w:val="32"/>
        </w:rPr>
        <w:t>和《广东省有限空间危险作业安全管理规程》的有关规定执行，必须对有毒有害气体进行检测、通风，不得在超标的环境下操作，所有参与操作</w:t>
      </w:r>
      <w:r>
        <w:rPr>
          <w:rFonts w:ascii="仿宋" w:eastAsia="仿宋" w:hAnsi="仿宋" w:cs="仿宋_GB2312" w:hint="eastAsia"/>
          <w:color w:val="000000" w:themeColor="text1"/>
          <w:sz w:val="32"/>
          <w:szCs w:val="32"/>
        </w:rPr>
        <w:t>的人员应佩戴防护装置，在可靠的监护下进行作业。</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第四十二条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污水处理设施所属的检查孔、人孔及其他附属井口均应加盖和安全网，应经常检查盖板的密闭性，并检查盖板和安全网挂钩的牢固性，防止人畜跌入。</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第四十三条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运维单位应根据相关法规和标准，并结合实际情况编制运行管理应急预案，组成应急实施小组，并定期演练，发生突发事件时应及时上报和处理，同时做好问题跟踪记录与反馈</w:t>
      </w:r>
    </w:p>
    <w:p w:rsidR="003D04EE" w:rsidRDefault="003D04E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第十一章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监督考核</w:t>
      </w:r>
    </w:p>
    <w:p w:rsidR="003D04EE" w:rsidRDefault="003F2E0E">
      <w:pPr>
        <w:pStyle w:val="a7"/>
        <w:shd w:val="clear" w:color="auto" w:fill="FFFFFF"/>
        <w:spacing w:before="0" w:beforeAutospacing="0" w:after="0" w:afterAutospacing="0" w:line="560" w:lineRule="exact"/>
        <w:ind w:firstLine="640"/>
        <w:jc w:val="both"/>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第四十四条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农村生活污水处理设施运维管理年度考核，由区主管部门组织实施，考核结果纳入生态环境保护“一岗双责”责任制、乡村振兴战略、农村人居环境整治、河</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湖）长制管理实绩考核内容。</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第四十五条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城市管理和综合执法局负责委托第三方服务公司，以定期和不定期结合的方式对各镇（街）生活污水处理设施运行维护管理情况进行监督检查和绩效考核，过渡期内（暂定一年）区农业农村局协助区城市管理和综合执</w:t>
      </w:r>
      <w:r>
        <w:rPr>
          <w:rFonts w:ascii="仿宋" w:eastAsia="仿宋" w:hAnsi="仿宋" w:cs="仿宋_GB2312" w:hint="eastAsia"/>
          <w:color w:val="000000" w:themeColor="text1"/>
          <w:sz w:val="32"/>
          <w:szCs w:val="32"/>
        </w:rPr>
        <w:lastRenderedPageBreak/>
        <w:t>法局开展监督检查和绩效考核工作。管养单位应在规定时间内向镇（街）指定的管理部门报告以下情况</w:t>
      </w:r>
      <w:r>
        <w:rPr>
          <w:rFonts w:ascii="仿宋" w:eastAsia="仿宋" w:hAnsi="仿宋" w:cs="仿宋_GB2312" w:hint="eastAsia"/>
          <w:color w:val="000000" w:themeColor="text1"/>
          <w:sz w:val="32"/>
          <w:szCs w:val="32"/>
        </w:rPr>
        <w:t>:</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（一）每月上旬报告上月的处理水量、巡查记录、设备完好率、设备养护记录、易损件更换记录等；</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（二）每季度第一个月报告上季度出水水质、水量和处理达标率等重要指标；</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（三）每年初报告上年度农村分散生活污水处理设施运行维护管理情况；</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四）遇重大故障、严重问题（如污水收集管网严重漏损需采取工程措施修复、出水水质出现异常、设备设施严重故障需要大修等）或因自然、人为因素可能影响污水处理系统正常运行急需政府部门协调解决的事项，应及时报告，并采取措施防止或减少危害后果。</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（五）</w:t>
      </w:r>
      <w:r>
        <w:rPr>
          <w:rFonts w:ascii="仿宋" w:eastAsia="仿宋" w:hAnsi="仿宋" w:cs="仿宋_GB2312"/>
          <w:color w:val="000000" w:themeColor="text1"/>
          <w:sz w:val="32"/>
          <w:szCs w:val="32"/>
        </w:rPr>
        <w:t>运维单位不得擅自停运农村生活污水处理设施，不得</w:t>
      </w:r>
      <w:r>
        <w:rPr>
          <w:rFonts w:ascii="仿宋" w:eastAsia="仿宋" w:hAnsi="仿宋" w:cs="仿宋_GB2312"/>
          <w:color w:val="000000" w:themeColor="text1"/>
          <w:sz w:val="32"/>
          <w:szCs w:val="32"/>
        </w:rPr>
        <w:t>擅自拆除、闲置污水处理设施。镇街和区级主管部门需加强对污水处理设施停运的管理，因维护需要或其他原因确需暂时停运（或部分停运）的，镇街应指导运营公司提前</w:t>
      </w:r>
      <w:r>
        <w:rPr>
          <w:rFonts w:ascii="仿宋" w:eastAsia="仿宋" w:hAnsi="仿宋" w:cs="仿宋_GB2312"/>
          <w:color w:val="000000" w:themeColor="text1"/>
          <w:sz w:val="32"/>
          <w:szCs w:val="32"/>
        </w:rPr>
        <w:t>60</w:t>
      </w:r>
      <w:r>
        <w:rPr>
          <w:rFonts w:ascii="仿宋" w:eastAsia="仿宋" w:hAnsi="仿宋" w:cs="仿宋_GB2312"/>
          <w:color w:val="000000" w:themeColor="text1"/>
          <w:sz w:val="32"/>
          <w:szCs w:val="32"/>
        </w:rPr>
        <w:t>日提交停运原因、停运时间和应急措施等材料，并及时向区主管部门报告。</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第四十六条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区主管部门应按照广东省生态环境年度监测方案对农村生活污水处理设施出水水质的监测要求进行监测，监测结果作为对运维单位年度考核内容。</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第四十七条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运维单位应在污水处理厂（站）附近公布出水水质标准、责任人及其联系电话、监督电话等内容，并</w:t>
      </w:r>
      <w:r>
        <w:rPr>
          <w:rFonts w:ascii="仿宋" w:eastAsia="仿宋" w:hAnsi="仿宋" w:cs="仿宋_GB2312" w:hint="eastAsia"/>
          <w:color w:val="000000" w:themeColor="text1"/>
          <w:sz w:val="32"/>
          <w:szCs w:val="32"/>
        </w:rPr>
        <w:lastRenderedPageBreak/>
        <w:t>将农户对污水处理满意率作为考核的重要内容，接受当</w:t>
      </w:r>
      <w:r>
        <w:rPr>
          <w:rFonts w:ascii="仿宋" w:eastAsia="仿宋" w:hAnsi="仿宋" w:cs="仿宋_GB2312" w:hint="eastAsia"/>
          <w:color w:val="000000" w:themeColor="text1"/>
          <w:sz w:val="32"/>
          <w:szCs w:val="32"/>
        </w:rPr>
        <w:t>地村民监督。</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第四十八条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考核管理</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监督检查和绩效考核应当从组织领导、规章制度、管理成效、水质监测、台帐资料、社会评价等方面，量化考核内容和评分标准。绩效考核应当开展农村生活污水处理设施出水水质全覆盖监测，出水水质和年度考核与支付污水处理服务费挂钩，出水水质不达标或年度考核不合格的，扣除相应污水处理服务费，检测应采取定期、不定期相结合。</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（一）考核对象为农村生活污水处理设施的养护水平，主要评价指标为站容站貌、设施完好率、出水水质、安全文明措施、运行维护档案资料、污水收集率和处理率等情况。</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（二）评分办法</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绩</w:t>
      </w:r>
      <w:r>
        <w:rPr>
          <w:rFonts w:ascii="仿宋" w:eastAsia="仿宋" w:hAnsi="仿宋" w:cs="仿宋_GB2312" w:hint="eastAsia"/>
          <w:color w:val="000000" w:themeColor="text1"/>
          <w:sz w:val="32"/>
          <w:szCs w:val="32"/>
        </w:rPr>
        <w:t>效考核工作每季度进行一次，由区城管局或其委托的第三方，根据各项目合同约定的评分办法现场考核，所得分作为支付月度运营管理费的依据。</w:t>
      </w:r>
    </w:p>
    <w:p w:rsidR="003D04EE" w:rsidRDefault="003D04E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p>
    <w:p w:rsidR="003D04EE" w:rsidRDefault="003F2E0E">
      <w:pPr>
        <w:pStyle w:val="a7"/>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第十二章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资金保障</w:t>
      </w:r>
    </w:p>
    <w:p w:rsidR="003D04EE" w:rsidRDefault="003F2E0E">
      <w:pPr>
        <w:pStyle w:val="a7"/>
        <w:shd w:val="clear" w:color="auto" w:fill="FFFFFF"/>
        <w:spacing w:before="0" w:beforeAutospacing="0" w:after="0" w:afterAutospacing="0" w:line="560" w:lineRule="exact"/>
        <w:ind w:firstLineChars="100" w:firstLine="32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第四十九条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农村生活污水处理设施的运行维护管理经费（包括日常运维、设备维修更新等经费）按“谁使用、谁付费”原则，由各属地政府按实际建设内容负担，由区财政在各镇的税收分成中代扣并统一支付给项目公司。第三方绩效考核工作经费，由区财政负担。区财政局和镇</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街</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应当根据农村生活污水处理设施运行维护和监督管理的实际需要，</w:t>
      </w:r>
      <w:r>
        <w:rPr>
          <w:rFonts w:ascii="仿宋" w:eastAsia="仿宋" w:hAnsi="仿宋" w:cs="仿宋_GB2312" w:hint="eastAsia"/>
          <w:color w:val="000000" w:themeColor="text1"/>
          <w:sz w:val="32"/>
          <w:szCs w:val="32"/>
        </w:rPr>
        <w:lastRenderedPageBreak/>
        <w:t>科学测算资金需求，合理安排年度预算资金并及时支付，确保设施的正常运行。</w:t>
      </w:r>
    </w:p>
    <w:p w:rsidR="003D04EE" w:rsidRDefault="003F2E0E">
      <w:pPr>
        <w:pStyle w:val="a7"/>
        <w:shd w:val="clear" w:color="auto" w:fill="FFFFFF"/>
        <w:spacing w:before="0" w:beforeAutospacing="0" w:after="0" w:afterAutospacing="0" w:line="56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第五十条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区、镇（街）相关部门应当加强对农村生活污水处理设施运行维护经费的使用管理。任何单位和个人不得截留、挤占、挪用资金。</w:t>
      </w:r>
    </w:p>
    <w:p w:rsidR="003D04EE" w:rsidRDefault="003D04EE">
      <w:pPr>
        <w:pStyle w:val="a7"/>
        <w:shd w:val="clear" w:color="auto" w:fill="FFFFFF"/>
        <w:spacing w:before="0" w:beforeAutospacing="0" w:after="0" w:afterAutospacing="0" w:line="560" w:lineRule="exact"/>
        <w:ind w:firstLineChars="200" w:firstLine="640"/>
        <w:rPr>
          <w:rFonts w:ascii="黑体" w:eastAsia="黑体" w:hAnsi="黑体" w:cs="仿宋_GB2312"/>
          <w:color w:val="000000" w:themeColor="text1"/>
          <w:sz w:val="32"/>
          <w:szCs w:val="32"/>
        </w:rPr>
      </w:pPr>
    </w:p>
    <w:p w:rsidR="003D04EE" w:rsidRDefault="003F2E0E">
      <w:pPr>
        <w:pStyle w:val="a7"/>
        <w:shd w:val="clear" w:color="auto" w:fill="FFFFFF"/>
        <w:spacing w:before="0" w:beforeAutospacing="0" w:after="0" w:afterAutospacing="0" w:line="560" w:lineRule="exact"/>
        <w:jc w:val="center"/>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第十三章</w:t>
      </w:r>
      <w:r>
        <w:rPr>
          <w:rFonts w:ascii="黑体" w:eastAsia="黑体" w:hAnsi="黑体" w:cs="仿宋_GB2312" w:hint="eastAsia"/>
          <w:color w:val="000000" w:themeColor="text1"/>
          <w:sz w:val="32"/>
          <w:szCs w:val="32"/>
        </w:rPr>
        <w:t xml:space="preserve"> </w:t>
      </w:r>
      <w:r>
        <w:rPr>
          <w:rFonts w:ascii="黑体" w:eastAsia="黑体" w:hAnsi="黑体" w:cs="仿宋_GB2312" w:hint="eastAsia"/>
          <w:color w:val="000000" w:themeColor="text1"/>
          <w:sz w:val="32"/>
          <w:szCs w:val="32"/>
        </w:rPr>
        <w:t>附则</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第五十一条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本办法由江门市新会区城市管理和综合执法局负责解释。</w:t>
      </w:r>
    </w:p>
    <w:p w:rsidR="003D04EE" w:rsidRDefault="003F2E0E">
      <w:pPr>
        <w:pStyle w:val="a7"/>
        <w:shd w:val="clear" w:color="auto" w:fill="FFFFFF"/>
        <w:spacing w:before="0" w:beforeAutospacing="0" w:after="0" w:afterAutospacing="0"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第五十二条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本办法自</w:t>
      </w:r>
      <w:r>
        <w:rPr>
          <w:rFonts w:ascii="仿宋" w:eastAsia="仿宋" w:hAnsi="仿宋" w:cs="仿宋_GB2312" w:hint="eastAsia"/>
          <w:color w:val="000000" w:themeColor="text1"/>
          <w:sz w:val="32"/>
          <w:szCs w:val="32"/>
        </w:rPr>
        <w:t>2023</w:t>
      </w:r>
      <w:r>
        <w:rPr>
          <w:rFonts w:ascii="仿宋" w:eastAsia="仿宋" w:hAnsi="仿宋" w:cs="仿宋_GB2312" w:hint="eastAsia"/>
          <w:color w:val="000000" w:themeColor="text1"/>
          <w:sz w:val="32"/>
          <w:szCs w:val="32"/>
        </w:rPr>
        <w:t>年</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月</w:t>
      </w: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日起正式实施，有效期至</w:t>
      </w:r>
      <w:r>
        <w:rPr>
          <w:rFonts w:ascii="仿宋" w:eastAsia="仿宋" w:hAnsi="仿宋" w:cs="仿宋_GB2312" w:hint="eastAsia"/>
          <w:color w:val="000000" w:themeColor="text1"/>
          <w:sz w:val="32"/>
          <w:szCs w:val="32"/>
        </w:rPr>
        <w:t>2025</w:t>
      </w:r>
      <w:r>
        <w:rPr>
          <w:rFonts w:ascii="仿宋" w:eastAsia="仿宋" w:hAnsi="仿宋" w:cs="仿宋_GB2312" w:hint="eastAsia"/>
          <w:color w:val="000000" w:themeColor="text1"/>
          <w:sz w:val="32"/>
          <w:szCs w:val="32"/>
        </w:rPr>
        <w:t>年</w:t>
      </w:r>
      <w:r>
        <w:rPr>
          <w:rFonts w:ascii="仿宋" w:eastAsia="仿宋" w:hAnsi="仿宋" w:cs="仿宋_GB2312" w:hint="eastAsia"/>
          <w:color w:val="000000" w:themeColor="text1"/>
          <w:sz w:val="32"/>
          <w:szCs w:val="32"/>
        </w:rPr>
        <w:t>12</w:t>
      </w:r>
      <w:r>
        <w:rPr>
          <w:rFonts w:ascii="仿宋" w:eastAsia="仿宋" w:hAnsi="仿宋" w:cs="仿宋_GB2312" w:hint="eastAsia"/>
          <w:color w:val="000000" w:themeColor="text1"/>
          <w:sz w:val="32"/>
          <w:szCs w:val="32"/>
        </w:rPr>
        <w:t>月</w:t>
      </w:r>
      <w:r>
        <w:rPr>
          <w:rFonts w:ascii="仿宋" w:eastAsia="仿宋" w:hAnsi="仿宋" w:cs="仿宋_GB2312" w:hint="eastAsia"/>
          <w:color w:val="000000" w:themeColor="text1"/>
          <w:sz w:val="32"/>
          <w:szCs w:val="32"/>
        </w:rPr>
        <w:t>31</w:t>
      </w:r>
      <w:r>
        <w:rPr>
          <w:rFonts w:ascii="仿宋" w:eastAsia="仿宋" w:hAnsi="仿宋" w:cs="仿宋_GB2312" w:hint="eastAsia"/>
          <w:color w:val="000000" w:themeColor="text1"/>
          <w:sz w:val="32"/>
          <w:szCs w:val="32"/>
        </w:rPr>
        <w:t>日。</w:t>
      </w: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F2E0E">
      <w:pP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br w:type="page"/>
      </w:r>
    </w:p>
    <w:p w:rsidR="003D04EE" w:rsidRDefault="003D04EE">
      <w:pPr>
        <w:rPr>
          <w:rFonts w:ascii="仿宋" w:eastAsia="仿宋" w:hAnsi="仿宋" w:cs="仿宋_GB2312"/>
          <w:b/>
          <w:bCs/>
          <w:color w:val="000000" w:themeColor="text1"/>
          <w:sz w:val="28"/>
          <w:szCs w:val="28"/>
        </w:rPr>
      </w:pPr>
    </w:p>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t>附录</w:t>
      </w:r>
      <w:r>
        <w:rPr>
          <w:rFonts w:ascii="仿宋" w:eastAsia="仿宋" w:hAnsi="仿宋" w:cs="仿宋_GB2312" w:hint="eastAsia"/>
          <w:b/>
          <w:bCs/>
          <w:color w:val="000000" w:themeColor="text1"/>
          <w:sz w:val="28"/>
          <w:szCs w:val="28"/>
        </w:rPr>
        <w:t>A</w:t>
      </w:r>
      <w:r>
        <w:rPr>
          <w:rFonts w:ascii="仿宋" w:eastAsia="仿宋" w:hAnsi="仿宋" w:cs="仿宋_GB2312" w:hint="eastAsia"/>
          <w:b/>
          <w:bCs/>
          <w:color w:val="000000" w:themeColor="text1"/>
          <w:sz w:val="28"/>
          <w:szCs w:val="28"/>
        </w:rPr>
        <w:t>（参考性附录）</w:t>
      </w:r>
    </w:p>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t>管养单位日常巡查登记表</w:t>
      </w:r>
    </w:p>
    <w:p w:rsidR="003D04EE" w:rsidRDefault="003F2E0E">
      <w:pPr>
        <w:pStyle w:val="a7"/>
        <w:shd w:val="clear" w:color="auto" w:fill="FFFFFF"/>
        <w:wordWrap w:val="0"/>
        <w:spacing w:before="0" w:beforeAutospacing="0" w:after="0" w:afterAutospacing="0" w:line="480" w:lineRule="atLeast"/>
        <w:ind w:firstLineChars="200" w:firstLine="600"/>
        <w:jc w:val="right"/>
        <w:rPr>
          <w:rFonts w:ascii="仿宋" w:eastAsia="仿宋" w:hAnsi="仿宋" w:cs="仿宋_GB2312"/>
          <w:color w:val="000000" w:themeColor="text1"/>
          <w:sz w:val="30"/>
          <w:szCs w:val="30"/>
        </w:rPr>
      </w:pPr>
      <w:r>
        <w:rPr>
          <w:rFonts w:ascii="仿宋" w:eastAsia="仿宋" w:hAnsi="仿宋" w:cs="仿宋_GB2312" w:hint="eastAsia"/>
          <w:color w:val="000000" w:themeColor="text1"/>
          <w:sz w:val="30"/>
          <w:szCs w:val="30"/>
        </w:rPr>
        <w:t>检查时间：</w:t>
      </w:r>
      <w:r>
        <w:rPr>
          <w:rFonts w:ascii="仿宋" w:eastAsia="仿宋" w:hAnsi="仿宋" w:cs="仿宋_GB2312" w:hint="eastAsia"/>
          <w:color w:val="000000" w:themeColor="text1"/>
          <w:sz w:val="30"/>
          <w:szCs w:val="30"/>
        </w:rPr>
        <w:t xml:space="preserve">    </w:t>
      </w:r>
      <w:r>
        <w:rPr>
          <w:rFonts w:ascii="仿宋" w:eastAsia="仿宋" w:hAnsi="仿宋" w:cs="仿宋_GB2312" w:hint="eastAsia"/>
          <w:color w:val="000000" w:themeColor="text1"/>
          <w:sz w:val="30"/>
          <w:szCs w:val="30"/>
        </w:rPr>
        <w:t>年</w:t>
      </w:r>
      <w:r>
        <w:rPr>
          <w:rFonts w:ascii="仿宋" w:eastAsia="仿宋" w:hAnsi="仿宋" w:cs="仿宋_GB2312" w:hint="eastAsia"/>
          <w:color w:val="000000" w:themeColor="text1"/>
          <w:sz w:val="30"/>
          <w:szCs w:val="30"/>
        </w:rPr>
        <w:t xml:space="preserve">  </w:t>
      </w:r>
      <w:r>
        <w:rPr>
          <w:rFonts w:ascii="仿宋" w:eastAsia="仿宋" w:hAnsi="仿宋" w:cs="仿宋_GB2312" w:hint="eastAsia"/>
          <w:color w:val="000000" w:themeColor="text1"/>
          <w:sz w:val="30"/>
          <w:szCs w:val="30"/>
        </w:rPr>
        <w:t>月</w:t>
      </w:r>
      <w:r>
        <w:rPr>
          <w:rFonts w:ascii="仿宋" w:eastAsia="仿宋" w:hAnsi="仿宋" w:cs="仿宋_GB2312" w:hint="eastAsia"/>
          <w:color w:val="000000" w:themeColor="text1"/>
          <w:sz w:val="30"/>
          <w:szCs w:val="30"/>
        </w:rPr>
        <w:t xml:space="preserve">  </w:t>
      </w:r>
      <w:r>
        <w:rPr>
          <w:rFonts w:ascii="仿宋" w:eastAsia="仿宋" w:hAnsi="仿宋" w:cs="仿宋_GB2312" w:hint="eastAsia"/>
          <w:color w:val="000000" w:themeColor="text1"/>
          <w:sz w:val="30"/>
          <w:szCs w:val="30"/>
        </w:rPr>
        <w:t>日</w:t>
      </w:r>
    </w:p>
    <w:tbl>
      <w:tblPr>
        <w:tblStyle w:val="a9"/>
        <w:tblW w:w="0" w:type="auto"/>
        <w:tblLook w:val="04A0" w:firstRow="1" w:lastRow="0" w:firstColumn="1" w:lastColumn="0" w:noHBand="0" w:noVBand="1"/>
      </w:tblPr>
      <w:tblGrid>
        <w:gridCol w:w="1899"/>
        <w:gridCol w:w="3840"/>
        <w:gridCol w:w="1215"/>
        <w:gridCol w:w="1568"/>
      </w:tblGrid>
      <w:tr w:rsidR="003D04EE">
        <w:trPr>
          <w:trHeight w:val="633"/>
        </w:trPr>
        <w:tc>
          <w:tcPr>
            <w:tcW w:w="1899"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检查分项</w:t>
            </w:r>
          </w:p>
        </w:tc>
        <w:tc>
          <w:tcPr>
            <w:tcW w:w="384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检查要点</w:t>
            </w:r>
          </w:p>
        </w:tc>
        <w:tc>
          <w:tcPr>
            <w:tcW w:w="121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符合性</w:t>
            </w:r>
          </w:p>
        </w:tc>
        <w:tc>
          <w:tcPr>
            <w:tcW w:w="1568" w:type="dxa"/>
            <w:vAlign w:val="center"/>
          </w:tcPr>
          <w:p w:rsidR="003D04EE" w:rsidRDefault="003F2E0E">
            <w:pPr>
              <w:pStyle w:val="a7"/>
              <w:spacing w:before="0" w:beforeAutospacing="0" w:after="0" w:afterAutospacing="0"/>
              <w:jc w:val="center"/>
              <w:rPr>
                <w:color w:val="000000" w:themeColor="text1"/>
                <w:sz w:val="21"/>
                <w:szCs w:val="21"/>
              </w:rPr>
            </w:pPr>
            <w:r>
              <w:rPr>
                <w:color w:val="000000" w:themeColor="text1"/>
                <w:sz w:val="21"/>
                <w:szCs w:val="21"/>
              </w:rPr>
              <w:t>异常说明</w:t>
            </w:r>
          </w:p>
        </w:tc>
      </w:tr>
      <w:tr w:rsidR="003D04EE">
        <w:trPr>
          <w:trHeight w:val="397"/>
        </w:trPr>
        <w:tc>
          <w:tcPr>
            <w:tcW w:w="1899"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污水收集管网</w:t>
            </w: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井盖、井框</w:t>
            </w:r>
          </w:p>
        </w:tc>
        <w:tc>
          <w:tcPr>
            <w:tcW w:w="1215" w:type="dxa"/>
            <w:vMerge w:val="restart"/>
          </w:tcPr>
          <w:p w:rsidR="003D04EE" w:rsidRDefault="003D04EE">
            <w:pPr>
              <w:pStyle w:val="a7"/>
              <w:spacing w:before="0" w:beforeAutospacing="0" w:after="0" w:afterAutospacing="0"/>
              <w:rPr>
                <w:color w:val="000000" w:themeColor="text1"/>
                <w:sz w:val="21"/>
                <w:szCs w:val="21"/>
              </w:rPr>
            </w:pPr>
          </w:p>
        </w:tc>
        <w:tc>
          <w:tcPr>
            <w:tcW w:w="1568"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有无污水溢出、堵塞</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有无违规或异常信息</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预处理设施（泵井、格栅、沉砂池、集水井）</w:t>
            </w: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干净、整洁</w:t>
            </w:r>
          </w:p>
        </w:tc>
        <w:tc>
          <w:tcPr>
            <w:tcW w:w="1215" w:type="dxa"/>
            <w:vMerge w:val="restart"/>
          </w:tcPr>
          <w:p w:rsidR="003D04EE" w:rsidRDefault="003D04EE">
            <w:pPr>
              <w:pStyle w:val="a7"/>
              <w:spacing w:before="0" w:beforeAutospacing="0" w:after="0" w:afterAutospacing="0"/>
              <w:rPr>
                <w:color w:val="000000" w:themeColor="text1"/>
                <w:sz w:val="21"/>
                <w:szCs w:val="21"/>
              </w:rPr>
            </w:pPr>
          </w:p>
        </w:tc>
        <w:tc>
          <w:tcPr>
            <w:tcW w:w="1568"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井盖、池体盖</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有无破损、裂缝</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有无污水溢出、堵塞</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restart"/>
            <w:vAlign w:val="center"/>
          </w:tcPr>
          <w:p w:rsidR="003D04EE" w:rsidRDefault="003F2E0E">
            <w:pPr>
              <w:pStyle w:val="a7"/>
              <w:spacing w:before="0" w:beforeAutospacing="0" w:after="0" w:afterAutospacing="0"/>
              <w:jc w:val="center"/>
              <w:rPr>
                <w:color w:val="000000" w:themeColor="text1"/>
                <w:sz w:val="21"/>
                <w:szCs w:val="21"/>
              </w:rPr>
            </w:pPr>
            <w:r>
              <w:rPr>
                <w:color w:val="000000" w:themeColor="text1"/>
                <w:sz w:val="21"/>
                <w:szCs w:val="21"/>
              </w:rPr>
              <w:t>污水处理系统主体工艺</w:t>
            </w: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进出水水量是否正常</w:t>
            </w:r>
          </w:p>
        </w:tc>
        <w:tc>
          <w:tcPr>
            <w:tcW w:w="1215" w:type="dxa"/>
            <w:vMerge w:val="restart"/>
          </w:tcPr>
          <w:p w:rsidR="003D04EE" w:rsidRDefault="003D04EE">
            <w:pPr>
              <w:pStyle w:val="a7"/>
              <w:spacing w:before="0" w:beforeAutospacing="0" w:after="0" w:afterAutospacing="0"/>
              <w:rPr>
                <w:color w:val="000000" w:themeColor="text1"/>
                <w:sz w:val="21"/>
                <w:szCs w:val="21"/>
              </w:rPr>
            </w:pPr>
          </w:p>
        </w:tc>
        <w:tc>
          <w:tcPr>
            <w:tcW w:w="1568"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干净、整洁</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有无破损、裂缝</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系统运行正常、无异常信息</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restart"/>
            <w:vAlign w:val="center"/>
          </w:tcPr>
          <w:p w:rsidR="003D04EE" w:rsidRDefault="003F2E0E">
            <w:pPr>
              <w:pStyle w:val="a7"/>
              <w:spacing w:before="0" w:beforeAutospacing="0" w:after="0" w:afterAutospacing="0"/>
              <w:ind w:firstLineChars="200" w:firstLine="420"/>
              <w:jc w:val="both"/>
              <w:rPr>
                <w:color w:val="000000" w:themeColor="text1"/>
                <w:sz w:val="21"/>
                <w:szCs w:val="21"/>
              </w:rPr>
            </w:pPr>
            <w:r>
              <w:rPr>
                <w:color w:val="000000" w:themeColor="text1"/>
                <w:sz w:val="21"/>
                <w:szCs w:val="21"/>
              </w:rPr>
              <w:t>附属设施</w:t>
            </w: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泵、鼓风机等设备无异常声响、振动</w:t>
            </w:r>
          </w:p>
        </w:tc>
        <w:tc>
          <w:tcPr>
            <w:tcW w:w="1215" w:type="dxa"/>
            <w:vMerge w:val="restart"/>
          </w:tcPr>
          <w:p w:rsidR="003D04EE" w:rsidRDefault="003D04EE">
            <w:pPr>
              <w:pStyle w:val="a7"/>
              <w:spacing w:before="0" w:beforeAutospacing="0" w:after="0" w:afterAutospacing="0"/>
              <w:rPr>
                <w:color w:val="000000" w:themeColor="text1"/>
                <w:sz w:val="21"/>
                <w:szCs w:val="21"/>
              </w:rPr>
            </w:pPr>
          </w:p>
        </w:tc>
        <w:tc>
          <w:tcPr>
            <w:tcW w:w="1568"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仪表、监控系统、配电系统规范、安全用电</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有无缺失、损坏</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干净、整洁</w:t>
            </w:r>
          </w:p>
        </w:tc>
        <w:tc>
          <w:tcPr>
            <w:tcW w:w="1215" w:type="dxa"/>
            <w:vMerge/>
          </w:tcPr>
          <w:p w:rsidR="003D04EE" w:rsidRDefault="003D04EE">
            <w:pPr>
              <w:pStyle w:val="a7"/>
              <w:spacing w:before="0" w:beforeAutospacing="0" w:after="0" w:afterAutospacing="0"/>
              <w:rPr>
                <w:color w:val="000000" w:themeColor="text1"/>
                <w:sz w:val="21"/>
                <w:szCs w:val="21"/>
              </w:rPr>
            </w:pPr>
          </w:p>
        </w:tc>
        <w:tc>
          <w:tcPr>
            <w:tcW w:w="1568" w:type="dxa"/>
            <w:vMerge/>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Align w:val="center"/>
          </w:tcPr>
          <w:p w:rsidR="003D04EE" w:rsidRDefault="003F2E0E">
            <w:pPr>
              <w:pStyle w:val="a7"/>
              <w:spacing w:before="0" w:beforeAutospacing="0" w:after="0" w:afterAutospacing="0"/>
              <w:jc w:val="center"/>
              <w:rPr>
                <w:color w:val="000000" w:themeColor="text1"/>
                <w:sz w:val="21"/>
                <w:szCs w:val="21"/>
              </w:rPr>
            </w:pPr>
            <w:r>
              <w:rPr>
                <w:color w:val="000000" w:themeColor="text1"/>
                <w:sz w:val="21"/>
                <w:szCs w:val="21"/>
              </w:rPr>
              <w:t>污泥、垃圾、植物残体</w:t>
            </w:r>
          </w:p>
        </w:tc>
        <w:tc>
          <w:tcPr>
            <w:tcW w:w="384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有无堆积未处理</w:t>
            </w:r>
          </w:p>
        </w:tc>
        <w:tc>
          <w:tcPr>
            <w:tcW w:w="1215" w:type="dxa"/>
          </w:tcPr>
          <w:p w:rsidR="003D04EE" w:rsidRDefault="003D04EE">
            <w:pPr>
              <w:pStyle w:val="a7"/>
              <w:spacing w:before="0" w:beforeAutospacing="0" w:after="0" w:afterAutospacing="0"/>
              <w:rPr>
                <w:color w:val="000000" w:themeColor="text1"/>
                <w:sz w:val="21"/>
                <w:szCs w:val="21"/>
              </w:rPr>
            </w:pPr>
          </w:p>
        </w:tc>
        <w:tc>
          <w:tcPr>
            <w:tcW w:w="1568" w:type="dxa"/>
          </w:tcPr>
          <w:p w:rsidR="003D04EE" w:rsidRDefault="003D04EE">
            <w:pPr>
              <w:pStyle w:val="a7"/>
              <w:spacing w:before="0" w:beforeAutospacing="0" w:after="0" w:afterAutospacing="0"/>
              <w:rPr>
                <w:color w:val="000000" w:themeColor="text1"/>
                <w:sz w:val="21"/>
                <w:szCs w:val="21"/>
              </w:rPr>
            </w:pPr>
          </w:p>
        </w:tc>
      </w:tr>
      <w:tr w:rsidR="003D04EE">
        <w:trPr>
          <w:trHeight w:val="777"/>
        </w:trPr>
        <w:tc>
          <w:tcPr>
            <w:tcW w:w="1899" w:type="dxa"/>
            <w:vAlign w:val="center"/>
          </w:tcPr>
          <w:p w:rsidR="003D04EE" w:rsidRDefault="003F2E0E">
            <w:pPr>
              <w:pStyle w:val="a7"/>
              <w:spacing w:before="0" w:beforeAutospacing="0" w:after="0" w:afterAutospacing="0"/>
              <w:jc w:val="center"/>
              <w:rPr>
                <w:color w:val="000000" w:themeColor="text1"/>
                <w:sz w:val="21"/>
                <w:szCs w:val="21"/>
              </w:rPr>
            </w:pPr>
            <w:r>
              <w:rPr>
                <w:color w:val="000000" w:themeColor="text1"/>
                <w:sz w:val="21"/>
                <w:szCs w:val="21"/>
              </w:rPr>
              <w:t>臭气</w:t>
            </w:r>
          </w:p>
        </w:tc>
        <w:tc>
          <w:tcPr>
            <w:tcW w:w="3840" w:type="dxa"/>
            <w:vAlign w:val="center"/>
          </w:tcPr>
          <w:p w:rsidR="003D04EE" w:rsidRDefault="003D04EE">
            <w:pPr>
              <w:pStyle w:val="a7"/>
              <w:spacing w:before="0" w:beforeAutospacing="0" w:after="0" w:afterAutospacing="0"/>
              <w:jc w:val="both"/>
              <w:rPr>
                <w:b/>
                <w:bCs/>
                <w:color w:val="000000" w:themeColor="text1"/>
                <w:sz w:val="21"/>
                <w:szCs w:val="21"/>
              </w:rPr>
            </w:pPr>
          </w:p>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color w:val="000000" w:themeColor="text1"/>
                <w:sz w:val="21"/>
                <w:szCs w:val="21"/>
              </w:rPr>
              <w:t>有无可闻到异味</w:t>
            </w:r>
          </w:p>
        </w:tc>
        <w:tc>
          <w:tcPr>
            <w:tcW w:w="1215" w:type="dxa"/>
          </w:tcPr>
          <w:p w:rsidR="003D04EE" w:rsidRDefault="003D04EE">
            <w:pPr>
              <w:pStyle w:val="a7"/>
              <w:spacing w:before="0" w:beforeAutospacing="0" w:after="0" w:afterAutospacing="0"/>
              <w:rPr>
                <w:color w:val="000000" w:themeColor="text1"/>
                <w:sz w:val="21"/>
                <w:szCs w:val="21"/>
              </w:rPr>
            </w:pPr>
          </w:p>
        </w:tc>
        <w:tc>
          <w:tcPr>
            <w:tcW w:w="1568" w:type="dxa"/>
          </w:tcPr>
          <w:p w:rsidR="003D04EE" w:rsidRDefault="003D04EE">
            <w:pPr>
              <w:pStyle w:val="a7"/>
              <w:spacing w:before="0" w:beforeAutospacing="0" w:after="0" w:afterAutospacing="0"/>
              <w:rPr>
                <w:color w:val="000000" w:themeColor="text1"/>
                <w:sz w:val="21"/>
                <w:szCs w:val="21"/>
              </w:rPr>
            </w:pPr>
          </w:p>
        </w:tc>
      </w:tr>
      <w:tr w:rsidR="003D04EE">
        <w:trPr>
          <w:trHeight w:val="1292"/>
        </w:trPr>
        <w:tc>
          <w:tcPr>
            <w:tcW w:w="1899" w:type="dxa"/>
            <w:vAlign w:val="center"/>
          </w:tcPr>
          <w:p w:rsidR="003D04EE" w:rsidRDefault="003F2E0E">
            <w:pPr>
              <w:pStyle w:val="a7"/>
              <w:spacing w:before="0" w:beforeAutospacing="0" w:after="0" w:afterAutospacing="0"/>
              <w:jc w:val="center"/>
              <w:rPr>
                <w:color w:val="000000" w:themeColor="text1"/>
                <w:sz w:val="21"/>
                <w:szCs w:val="21"/>
              </w:rPr>
            </w:pPr>
            <w:r>
              <w:rPr>
                <w:color w:val="000000" w:themeColor="text1"/>
                <w:sz w:val="21"/>
                <w:szCs w:val="21"/>
              </w:rPr>
              <w:t>备注</w:t>
            </w:r>
          </w:p>
        </w:tc>
        <w:tc>
          <w:tcPr>
            <w:tcW w:w="3840" w:type="dxa"/>
          </w:tcPr>
          <w:p w:rsidR="003D04EE" w:rsidRDefault="003D04EE">
            <w:pPr>
              <w:pStyle w:val="a7"/>
              <w:spacing w:before="0" w:beforeAutospacing="0" w:after="0" w:afterAutospacing="0"/>
              <w:rPr>
                <w:color w:val="000000" w:themeColor="text1"/>
                <w:sz w:val="21"/>
                <w:szCs w:val="21"/>
              </w:rPr>
            </w:pPr>
          </w:p>
        </w:tc>
        <w:tc>
          <w:tcPr>
            <w:tcW w:w="1215" w:type="dxa"/>
          </w:tcPr>
          <w:p w:rsidR="003D04EE" w:rsidRDefault="003D04EE">
            <w:pPr>
              <w:pStyle w:val="a7"/>
              <w:spacing w:before="0" w:beforeAutospacing="0" w:after="0" w:afterAutospacing="0"/>
              <w:rPr>
                <w:color w:val="000000" w:themeColor="text1"/>
                <w:sz w:val="21"/>
                <w:szCs w:val="21"/>
              </w:rPr>
            </w:pPr>
          </w:p>
        </w:tc>
        <w:tc>
          <w:tcPr>
            <w:tcW w:w="1568" w:type="dxa"/>
          </w:tcPr>
          <w:p w:rsidR="003D04EE" w:rsidRDefault="003D04EE">
            <w:pPr>
              <w:pStyle w:val="a7"/>
              <w:spacing w:before="0" w:beforeAutospacing="0" w:after="0" w:afterAutospacing="0"/>
              <w:rPr>
                <w:color w:val="000000" w:themeColor="text1"/>
                <w:sz w:val="21"/>
                <w:szCs w:val="21"/>
              </w:rPr>
            </w:pPr>
          </w:p>
        </w:tc>
      </w:tr>
      <w:tr w:rsidR="003D04EE">
        <w:trPr>
          <w:trHeight w:val="397"/>
        </w:trPr>
        <w:tc>
          <w:tcPr>
            <w:tcW w:w="1899" w:type="dxa"/>
            <w:vAlign w:val="center"/>
          </w:tcPr>
          <w:p w:rsidR="003D04EE" w:rsidRDefault="003F2E0E">
            <w:pPr>
              <w:pStyle w:val="a7"/>
              <w:spacing w:before="0" w:beforeAutospacing="0" w:after="0" w:afterAutospacing="0"/>
              <w:jc w:val="center"/>
              <w:rPr>
                <w:color w:val="000000" w:themeColor="text1"/>
                <w:sz w:val="21"/>
                <w:szCs w:val="21"/>
              </w:rPr>
            </w:pPr>
            <w:r>
              <w:rPr>
                <w:color w:val="000000" w:themeColor="text1"/>
                <w:sz w:val="21"/>
                <w:szCs w:val="21"/>
              </w:rPr>
              <w:t>检查人</w:t>
            </w:r>
          </w:p>
        </w:tc>
        <w:tc>
          <w:tcPr>
            <w:tcW w:w="3840" w:type="dxa"/>
          </w:tcPr>
          <w:p w:rsidR="003D04EE" w:rsidRDefault="003D04EE">
            <w:pPr>
              <w:pStyle w:val="a7"/>
              <w:spacing w:before="0" w:beforeAutospacing="0" w:after="0" w:afterAutospacing="0"/>
              <w:rPr>
                <w:color w:val="000000" w:themeColor="text1"/>
                <w:sz w:val="21"/>
                <w:szCs w:val="21"/>
              </w:rPr>
            </w:pPr>
          </w:p>
        </w:tc>
        <w:tc>
          <w:tcPr>
            <w:tcW w:w="1215" w:type="dxa"/>
          </w:tcPr>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t>负责人</w:t>
            </w:r>
          </w:p>
        </w:tc>
        <w:tc>
          <w:tcPr>
            <w:tcW w:w="1568" w:type="dxa"/>
          </w:tcPr>
          <w:p w:rsidR="003D04EE" w:rsidRDefault="003D04EE">
            <w:pPr>
              <w:pStyle w:val="a7"/>
              <w:spacing w:before="0" w:beforeAutospacing="0" w:after="0" w:afterAutospacing="0"/>
              <w:rPr>
                <w:color w:val="000000" w:themeColor="text1"/>
                <w:sz w:val="21"/>
                <w:szCs w:val="21"/>
              </w:rPr>
            </w:pPr>
          </w:p>
        </w:tc>
      </w:tr>
    </w:tbl>
    <w:p w:rsidR="003D04EE" w:rsidRDefault="003F2E0E">
      <w:pPr>
        <w:pStyle w:val="a7"/>
        <w:spacing w:before="0" w:beforeAutospacing="0" w:after="0" w:afterAutospacing="0"/>
        <w:rPr>
          <w:color w:val="000000" w:themeColor="text1"/>
          <w:sz w:val="18"/>
          <w:szCs w:val="18"/>
        </w:rPr>
      </w:pPr>
      <w:r>
        <w:rPr>
          <w:color w:val="000000" w:themeColor="text1"/>
          <w:sz w:val="18"/>
          <w:szCs w:val="18"/>
        </w:rPr>
        <w:t>备注：如果检查无异常直接在情况登记处填打</w:t>
      </w:r>
      <w:r>
        <w:rPr>
          <w:color w:val="000000" w:themeColor="text1"/>
          <w:sz w:val="18"/>
          <w:szCs w:val="18"/>
        </w:rPr>
        <w:t>“</w:t>
      </w:r>
      <w:r>
        <w:rPr>
          <w:rFonts w:hint="eastAsia"/>
          <w:color w:val="000000" w:themeColor="text1"/>
          <w:sz w:val="18"/>
          <w:szCs w:val="18"/>
        </w:rPr>
        <w:t>√</w:t>
      </w:r>
      <w:r>
        <w:rPr>
          <w:color w:val="000000" w:themeColor="text1"/>
          <w:sz w:val="18"/>
          <w:szCs w:val="18"/>
        </w:rPr>
        <w:t>”</w:t>
      </w:r>
      <w:r>
        <w:rPr>
          <w:color w:val="000000" w:themeColor="text1"/>
          <w:sz w:val="18"/>
          <w:szCs w:val="18"/>
        </w:rPr>
        <w:t>：如果发现设备有异常情况，请填写好当时所发现的异常现象如</w:t>
      </w:r>
      <w:r>
        <w:rPr>
          <w:color w:val="000000" w:themeColor="text1"/>
          <w:sz w:val="18"/>
          <w:szCs w:val="18"/>
        </w:rPr>
        <w:t>“</w:t>
      </w:r>
      <w:r>
        <w:rPr>
          <w:color w:val="000000" w:themeColor="text1"/>
          <w:sz w:val="18"/>
          <w:szCs w:val="18"/>
        </w:rPr>
        <w:t>破损、裂缝</w:t>
      </w:r>
      <w:r>
        <w:rPr>
          <w:color w:val="000000" w:themeColor="text1"/>
          <w:sz w:val="18"/>
          <w:szCs w:val="18"/>
        </w:rPr>
        <w:t>0.2mm</w:t>
      </w:r>
      <w:r>
        <w:rPr>
          <w:color w:val="000000" w:themeColor="text1"/>
          <w:sz w:val="18"/>
          <w:szCs w:val="18"/>
        </w:rPr>
        <w:t>、丢失</w:t>
      </w:r>
      <w:r>
        <w:rPr>
          <w:color w:val="000000" w:themeColor="text1"/>
          <w:sz w:val="18"/>
          <w:szCs w:val="18"/>
        </w:rPr>
        <w:t>……”</w:t>
      </w:r>
      <w:r>
        <w:rPr>
          <w:color w:val="000000" w:themeColor="text1"/>
          <w:sz w:val="18"/>
          <w:szCs w:val="18"/>
        </w:rPr>
        <w:t>等。</w:t>
      </w:r>
    </w:p>
    <w:p w:rsidR="003D04EE" w:rsidRDefault="003D04EE">
      <w:pPr>
        <w:pStyle w:val="a7"/>
        <w:shd w:val="clear" w:color="auto" w:fill="FFFFFF"/>
        <w:spacing w:before="0" w:beforeAutospacing="0" w:after="0" w:afterAutospacing="0" w:line="480" w:lineRule="atLeast"/>
        <w:ind w:firstLineChars="200" w:firstLine="560"/>
        <w:rPr>
          <w:rFonts w:ascii="仿宋" w:eastAsia="仿宋" w:hAnsi="仿宋" w:cs="仿宋_GB2312"/>
          <w:color w:val="000000" w:themeColor="text1"/>
          <w:sz w:val="28"/>
          <w:szCs w:val="28"/>
        </w:rPr>
      </w:pPr>
    </w:p>
    <w:p w:rsidR="003D04EE" w:rsidRDefault="003D04EE">
      <w:pPr>
        <w:pStyle w:val="a7"/>
        <w:shd w:val="clear" w:color="auto" w:fill="FFFFFF"/>
        <w:spacing w:before="0" w:beforeAutospacing="0" w:after="0" w:afterAutospacing="0" w:line="400" w:lineRule="exact"/>
        <w:jc w:val="both"/>
        <w:rPr>
          <w:rFonts w:ascii="仿宋" w:eastAsia="仿宋" w:hAnsi="仿宋" w:cs="仿宋_GB2312"/>
          <w:b/>
          <w:bCs/>
          <w:color w:val="000000" w:themeColor="text1"/>
          <w:sz w:val="28"/>
          <w:szCs w:val="28"/>
        </w:rPr>
      </w:pPr>
    </w:p>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lastRenderedPageBreak/>
        <w:t>附录</w:t>
      </w:r>
      <w:r>
        <w:rPr>
          <w:rFonts w:ascii="仿宋" w:eastAsia="仿宋" w:hAnsi="仿宋" w:cs="仿宋_GB2312" w:hint="eastAsia"/>
          <w:b/>
          <w:bCs/>
          <w:color w:val="000000" w:themeColor="text1"/>
          <w:sz w:val="28"/>
          <w:szCs w:val="28"/>
        </w:rPr>
        <w:t>B</w:t>
      </w:r>
      <w:r>
        <w:rPr>
          <w:rFonts w:ascii="仿宋" w:eastAsia="仿宋" w:hAnsi="仿宋" w:cs="仿宋_GB2312" w:hint="eastAsia"/>
          <w:b/>
          <w:bCs/>
          <w:color w:val="000000" w:themeColor="text1"/>
          <w:sz w:val="28"/>
          <w:szCs w:val="28"/>
        </w:rPr>
        <w:t>（参考性附录）</w:t>
      </w:r>
    </w:p>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t>管养单位维护登记表</w:t>
      </w:r>
    </w:p>
    <w:p w:rsidR="003D04EE" w:rsidRDefault="003F2E0E">
      <w:pPr>
        <w:pStyle w:val="a7"/>
        <w:shd w:val="clear" w:color="auto" w:fill="FFFFFF"/>
        <w:wordWrap w:val="0"/>
        <w:spacing w:before="0" w:beforeAutospacing="0" w:after="0" w:afterAutospacing="0" w:line="480" w:lineRule="atLeast"/>
        <w:ind w:firstLineChars="200" w:firstLine="600"/>
        <w:jc w:val="right"/>
        <w:rPr>
          <w:rFonts w:ascii="仿宋" w:eastAsia="仿宋" w:hAnsi="仿宋" w:cs="仿宋_GB2312"/>
          <w:color w:val="000000" w:themeColor="text1"/>
          <w:sz w:val="30"/>
          <w:szCs w:val="30"/>
        </w:rPr>
      </w:pPr>
      <w:r>
        <w:rPr>
          <w:rFonts w:ascii="仿宋" w:eastAsia="仿宋" w:hAnsi="仿宋" w:cs="仿宋_GB2312" w:hint="eastAsia"/>
          <w:color w:val="000000" w:themeColor="text1"/>
          <w:sz w:val="30"/>
          <w:szCs w:val="30"/>
        </w:rPr>
        <w:t>检查时间：</w:t>
      </w:r>
      <w:r>
        <w:rPr>
          <w:rFonts w:ascii="仿宋" w:eastAsia="仿宋" w:hAnsi="仿宋" w:cs="仿宋_GB2312" w:hint="eastAsia"/>
          <w:color w:val="000000" w:themeColor="text1"/>
          <w:sz w:val="30"/>
          <w:szCs w:val="30"/>
        </w:rPr>
        <w:t xml:space="preserve">    </w:t>
      </w:r>
      <w:r>
        <w:rPr>
          <w:rFonts w:ascii="仿宋" w:eastAsia="仿宋" w:hAnsi="仿宋" w:cs="仿宋_GB2312" w:hint="eastAsia"/>
          <w:color w:val="000000" w:themeColor="text1"/>
          <w:sz w:val="30"/>
          <w:szCs w:val="30"/>
        </w:rPr>
        <w:t>年</w:t>
      </w:r>
      <w:r>
        <w:rPr>
          <w:rFonts w:ascii="仿宋" w:eastAsia="仿宋" w:hAnsi="仿宋" w:cs="仿宋_GB2312" w:hint="eastAsia"/>
          <w:color w:val="000000" w:themeColor="text1"/>
          <w:sz w:val="30"/>
          <w:szCs w:val="30"/>
        </w:rPr>
        <w:t xml:space="preserve">  </w:t>
      </w:r>
      <w:r>
        <w:rPr>
          <w:rFonts w:ascii="仿宋" w:eastAsia="仿宋" w:hAnsi="仿宋" w:cs="仿宋_GB2312" w:hint="eastAsia"/>
          <w:color w:val="000000" w:themeColor="text1"/>
          <w:sz w:val="30"/>
          <w:szCs w:val="30"/>
        </w:rPr>
        <w:t>月</w:t>
      </w:r>
      <w:r>
        <w:rPr>
          <w:rFonts w:ascii="仿宋" w:eastAsia="仿宋" w:hAnsi="仿宋" w:cs="仿宋_GB2312" w:hint="eastAsia"/>
          <w:color w:val="000000" w:themeColor="text1"/>
          <w:sz w:val="30"/>
          <w:szCs w:val="30"/>
        </w:rPr>
        <w:t xml:space="preserve">  </w:t>
      </w:r>
      <w:r>
        <w:rPr>
          <w:rFonts w:ascii="仿宋" w:eastAsia="仿宋" w:hAnsi="仿宋" w:cs="仿宋_GB2312" w:hint="eastAsia"/>
          <w:color w:val="000000" w:themeColor="text1"/>
          <w:sz w:val="30"/>
          <w:szCs w:val="30"/>
        </w:rPr>
        <w:t>日</w:t>
      </w:r>
    </w:p>
    <w:tbl>
      <w:tblPr>
        <w:tblStyle w:val="a9"/>
        <w:tblW w:w="8784" w:type="dxa"/>
        <w:tblLook w:val="04A0" w:firstRow="1" w:lastRow="0" w:firstColumn="1" w:lastColumn="0" w:noHBand="0" w:noVBand="1"/>
      </w:tblPr>
      <w:tblGrid>
        <w:gridCol w:w="1114"/>
        <w:gridCol w:w="4170"/>
        <w:gridCol w:w="900"/>
        <w:gridCol w:w="2600"/>
      </w:tblGrid>
      <w:tr w:rsidR="003D04EE">
        <w:trPr>
          <w:trHeight w:hRule="exact" w:val="363"/>
        </w:trPr>
        <w:tc>
          <w:tcPr>
            <w:tcW w:w="1114"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填表人：</w:t>
            </w:r>
          </w:p>
        </w:tc>
        <w:tc>
          <w:tcPr>
            <w:tcW w:w="4170" w:type="dxa"/>
            <w:vAlign w:val="center"/>
          </w:tcPr>
          <w:p w:rsidR="003D04EE" w:rsidRDefault="003D04EE">
            <w:pPr>
              <w:pStyle w:val="a7"/>
              <w:spacing w:before="0" w:beforeAutospacing="0" w:after="0" w:afterAutospacing="0"/>
              <w:jc w:val="both"/>
              <w:rPr>
                <w:b/>
                <w:bCs/>
                <w:color w:val="000000" w:themeColor="text1"/>
                <w:sz w:val="21"/>
                <w:szCs w:val="21"/>
              </w:rPr>
            </w:pPr>
          </w:p>
        </w:tc>
        <w:tc>
          <w:tcPr>
            <w:tcW w:w="3500" w:type="dxa"/>
            <w:gridSpan w:val="2"/>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定期检查</w:t>
            </w:r>
          </w:p>
        </w:tc>
      </w:tr>
      <w:tr w:rsidR="003D04EE">
        <w:trPr>
          <w:trHeight w:hRule="exact" w:val="363"/>
        </w:trPr>
        <w:tc>
          <w:tcPr>
            <w:tcW w:w="1114"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检查人：</w:t>
            </w:r>
          </w:p>
        </w:tc>
        <w:tc>
          <w:tcPr>
            <w:tcW w:w="4170" w:type="dxa"/>
            <w:vAlign w:val="center"/>
          </w:tcPr>
          <w:p w:rsidR="003D04EE" w:rsidRDefault="003D04EE">
            <w:pPr>
              <w:pStyle w:val="a7"/>
              <w:spacing w:before="0" w:beforeAutospacing="0" w:after="0" w:afterAutospacing="0"/>
              <w:jc w:val="both"/>
              <w:rPr>
                <w:b/>
                <w:bCs/>
                <w:color w:val="000000" w:themeColor="text1"/>
                <w:sz w:val="21"/>
                <w:szCs w:val="21"/>
              </w:rPr>
            </w:pPr>
          </w:p>
        </w:tc>
        <w:tc>
          <w:tcPr>
            <w:tcW w:w="3500" w:type="dxa"/>
            <w:gridSpan w:val="2"/>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周期性维护</w:t>
            </w:r>
          </w:p>
        </w:tc>
      </w:tr>
      <w:tr w:rsidR="003D04EE">
        <w:trPr>
          <w:trHeight w:hRule="exact" w:val="363"/>
        </w:trPr>
        <w:tc>
          <w:tcPr>
            <w:tcW w:w="1114"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设备名称</w:t>
            </w:r>
          </w:p>
        </w:tc>
        <w:tc>
          <w:tcPr>
            <w:tcW w:w="4170" w:type="dxa"/>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检查、维护要点</w:t>
            </w:r>
          </w:p>
        </w:tc>
        <w:tc>
          <w:tcPr>
            <w:tcW w:w="90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已保养</w:t>
            </w:r>
          </w:p>
        </w:tc>
        <w:tc>
          <w:tcPr>
            <w:tcW w:w="260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异常情况及维修记录</w:t>
            </w:r>
          </w:p>
        </w:tc>
      </w:tr>
      <w:tr w:rsidR="003D04EE">
        <w:trPr>
          <w:trHeight w:hRule="exact" w:val="363"/>
        </w:trPr>
        <w:tc>
          <w:tcPr>
            <w:tcW w:w="111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污水收集管网</w:t>
            </w: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井盖、井框</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检查井防护网</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有无污水溢出、堵塞</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管网清疏</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有无违规或异常信息</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预处理设施</w:t>
            </w:r>
            <w:r>
              <w:rPr>
                <w:rFonts w:hint="eastAsia"/>
                <w:color w:val="000000" w:themeColor="text1"/>
                <w:sz w:val="21"/>
                <w:szCs w:val="21"/>
              </w:rPr>
              <w:t>(</w:t>
            </w:r>
            <w:r>
              <w:rPr>
                <w:rFonts w:hint="eastAsia"/>
                <w:color w:val="000000" w:themeColor="text1"/>
                <w:sz w:val="21"/>
                <w:szCs w:val="21"/>
              </w:rPr>
              <w:t>格栅、沉砂池、集水井）</w:t>
            </w: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干净、整洁</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井盖、池体盖</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池体结构完好</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有无破损、裂缝、渗漏</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有无污水溢出、堵塞</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有无清理污泥、栅渣及其他漂浮物、垃圾</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厌氧池</w:t>
            </w: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干净、整洁</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有无破损、裂缝</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填料无异样、框架牢固</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通气设施（通气口或检查口）</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有无定期清淤</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系统运行是否正常、有无其他异常信息</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人工湿地</w:t>
            </w: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干净、整洁</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有无破损、裂缝</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定期清理杂草、漂浮物、植物残体</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湿地植物覆盖率正常</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基质无堵塞、结块</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水位正常、无壅水现象</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系统运行正常、无其他异常信息</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稳定塘（生态沟渠）</w:t>
            </w: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干净、整洁</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堤坝无裂缝、渗漏、破损</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及时清理堤坝杂草</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定期清理淤泥、漂浮物、废渣或其他垃圾</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水生植物覆盖率正常</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水位正常</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r w:rsidR="003D04EE">
        <w:trPr>
          <w:trHeight w:hRule="exact" w:val="363"/>
        </w:trPr>
        <w:tc>
          <w:tcPr>
            <w:tcW w:w="1114" w:type="dxa"/>
            <w:vMerge/>
          </w:tcPr>
          <w:p w:rsidR="003D04EE" w:rsidRDefault="003D04EE">
            <w:pPr>
              <w:pStyle w:val="a7"/>
              <w:spacing w:before="0" w:beforeAutospacing="0" w:after="0" w:afterAutospacing="0"/>
              <w:rPr>
                <w:color w:val="000000" w:themeColor="text1"/>
                <w:sz w:val="21"/>
                <w:szCs w:val="21"/>
              </w:rPr>
            </w:pPr>
          </w:p>
        </w:tc>
        <w:tc>
          <w:tcPr>
            <w:tcW w:w="417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系统运行正常、无其他异常信息</w:t>
            </w:r>
          </w:p>
        </w:tc>
        <w:tc>
          <w:tcPr>
            <w:tcW w:w="900" w:type="dxa"/>
          </w:tcPr>
          <w:p w:rsidR="003D04EE" w:rsidRDefault="003D04EE">
            <w:pPr>
              <w:pStyle w:val="a7"/>
              <w:spacing w:before="0" w:beforeAutospacing="0" w:after="0" w:afterAutospacing="0"/>
              <w:rPr>
                <w:color w:val="000000" w:themeColor="text1"/>
                <w:sz w:val="21"/>
                <w:szCs w:val="21"/>
              </w:rPr>
            </w:pPr>
          </w:p>
        </w:tc>
        <w:tc>
          <w:tcPr>
            <w:tcW w:w="2600" w:type="dxa"/>
            <w:vMerge/>
          </w:tcPr>
          <w:p w:rsidR="003D04EE" w:rsidRDefault="003D04EE">
            <w:pPr>
              <w:pStyle w:val="a7"/>
              <w:spacing w:before="0" w:beforeAutospacing="0" w:after="0" w:afterAutospacing="0"/>
              <w:rPr>
                <w:color w:val="000000" w:themeColor="text1"/>
                <w:sz w:val="21"/>
                <w:szCs w:val="21"/>
              </w:rPr>
            </w:pPr>
          </w:p>
        </w:tc>
      </w:tr>
    </w:tbl>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lastRenderedPageBreak/>
        <w:t>管养单位维护登记表</w:t>
      </w:r>
      <w:r>
        <w:rPr>
          <w:rFonts w:ascii="仿宋" w:eastAsia="仿宋" w:hAnsi="仿宋" w:cs="仿宋_GB2312" w:hint="eastAsia"/>
          <w:b/>
          <w:bCs/>
          <w:color w:val="000000" w:themeColor="text1"/>
          <w:sz w:val="28"/>
          <w:szCs w:val="28"/>
        </w:rPr>
        <w:t>(</w:t>
      </w:r>
      <w:r>
        <w:rPr>
          <w:rFonts w:ascii="仿宋" w:eastAsia="仿宋" w:hAnsi="仿宋" w:cs="仿宋_GB2312" w:hint="eastAsia"/>
          <w:b/>
          <w:bCs/>
          <w:color w:val="000000" w:themeColor="text1"/>
          <w:sz w:val="28"/>
          <w:szCs w:val="28"/>
        </w:rPr>
        <w:t>续</w:t>
      </w:r>
      <w:r>
        <w:rPr>
          <w:rFonts w:ascii="仿宋" w:eastAsia="仿宋" w:hAnsi="仿宋" w:cs="仿宋_GB2312" w:hint="eastAsia"/>
          <w:b/>
          <w:bCs/>
          <w:color w:val="000000" w:themeColor="text1"/>
          <w:sz w:val="28"/>
          <w:szCs w:val="28"/>
        </w:rPr>
        <w:t>)</w:t>
      </w:r>
    </w:p>
    <w:p w:rsidR="003D04EE" w:rsidRDefault="003D04EE">
      <w:pPr>
        <w:pStyle w:val="a7"/>
        <w:shd w:val="clear" w:color="auto" w:fill="FFFFFF"/>
        <w:spacing w:before="0" w:beforeAutospacing="0" w:after="0" w:afterAutospacing="0" w:line="480" w:lineRule="atLeast"/>
        <w:ind w:firstLineChars="200" w:firstLine="600"/>
        <w:rPr>
          <w:rFonts w:ascii="仿宋" w:eastAsia="仿宋" w:hAnsi="仿宋" w:cs="仿宋_GB2312"/>
          <w:color w:val="000000" w:themeColor="text1"/>
          <w:sz w:val="30"/>
          <w:szCs w:val="30"/>
        </w:rPr>
      </w:pPr>
    </w:p>
    <w:tbl>
      <w:tblPr>
        <w:tblStyle w:val="a9"/>
        <w:tblW w:w="8784" w:type="dxa"/>
        <w:tblLook w:val="04A0" w:firstRow="1" w:lastRow="0" w:firstColumn="1" w:lastColumn="0" w:noHBand="0" w:noVBand="1"/>
      </w:tblPr>
      <w:tblGrid>
        <w:gridCol w:w="1459"/>
        <w:gridCol w:w="4230"/>
        <w:gridCol w:w="920"/>
        <w:gridCol w:w="2175"/>
      </w:tblGrid>
      <w:tr w:rsidR="003D04EE">
        <w:trPr>
          <w:trHeight w:val="363"/>
        </w:trPr>
        <w:tc>
          <w:tcPr>
            <w:tcW w:w="1459"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设备名称</w:t>
            </w:r>
          </w:p>
        </w:tc>
        <w:tc>
          <w:tcPr>
            <w:tcW w:w="423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检查、维护要点</w:t>
            </w:r>
          </w:p>
        </w:tc>
        <w:tc>
          <w:tcPr>
            <w:tcW w:w="92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已保养</w:t>
            </w:r>
          </w:p>
        </w:tc>
        <w:tc>
          <w:tcPr>
            <w:tcW w:w="217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异常情况及维修记录</w:t>
            </w:r>
          </w:p>
        </w:tc>
      </w:tr>
      <w:tr w:rsidR="003D04EE">
        <w:trPr>
          <w:trHeight w:val="363"/>
        </w:trPr>
        <w:tc>
          <w:tcPr>
            <w:tcW w:w="1459" w:type="dxa"/>
            <w:vMerge w:val="restart"/>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接触氧化、膜生物处理等生化处理系统</w:t>
            </w: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干净、整洁</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有无破损、裂缝</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曝气均匀</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填料无缠绕、堵塞、结块</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活性污泥浓度</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系统运行正常、无其他异常信息</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附属设施</w:t>
            </w: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泵、鼓风机等设备无异常声响、振动</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val="restart"/>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仪表、监控系统、配电系统规范、安全用电</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有无缺失、损坏</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Merge/>
          </w:tcPr>
          <w:p w:rsidR="003D04EE" w:rsidRDefault="003D04EE">
            <w:pPr>
              <w:pStyle w:val="a7"/>
              <w:spacing w:before="0" w:beforeAutospacing="0" w:after="0" w:afterAutospacing="0"/>
              <w:jc w:val="center"/>
              <w:rPr>
                <w:color w:val="000000" w:themeColor="text1"/>
                <w:sz w:val="21"/>
                <w:szCs w:val="21"/>
              </w:rPr>
            </w:pP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干净、整洁</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vMerge/>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t>治理设施产生的污泥、垃圾、植物残体</w:t>
            </w: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有无堆积未处理</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tcPr>
          <w:p w:rsidR="003D04EE" w:rsidRDefault="003D04EE">
            <w:pPr>
              <w:pStyle w:val="a7"/>
              <w:spacing w:before="0" w:beforeAutospacing="0" w:after="0" w:afterAutospacing="0"/>
              <w:rPr>
                <w:color w:val="000000" w:themeColor="text1"/>
                <w:sz w:val="21"/>
                <w:szCs w:val="21"/>
              </w:rPr>
            </w:pPr>
          </w:p>
        </w:tc>
      </w:tr>
      <w:tr w:rsidR="003D04EE">
        <w:trPr>
          <w:trHeight w:val="363"/>
        </w:trPr>
        <w:tc>
          <w:tcPr>
            <w:tcW w:w="1459"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臭气</w:t>
            </w:r>
          </w:p>
        </w:tc>
        <w:tc>
          <w:tcPr>
            <w:tcW w:w="4230" w:type="dxa"/>
            <w:vAlign w:val="center"/>
          </w:tcPr>
          <w:p w:rsidR="003D04EE" w:rsidRDefault="003F2E0E">
            <w:pPr>
              <w:pStyle w:val="a7"/>
              <w:spacing w:before="0" w:beforeAutospacing="0" w:after="0" w:afterAutospacing="0"/>
              <w:jc w:val="both"/>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有无可闻到异味</w:t>
            </w:r>
          </w:p>
        </w:tc>
        <w:tc>
          <w:tcPr>
            <w:tcW w:w="920" w:type="dxa"/>
          </w:tcPr>
          <w:p w:rsidR="003D04EE" w:rsidRDefault="003D04EE">
            <w:pPr>
              <w:pStyle w:val="a7"/>
              <w:spacing w:before="0" w:beforeAutospacing="0" w:after="0" w:afterAutospacing="0"/>
              <w:rPr>
                <w:color w:val="000000" w:themeColor="text1"/>
                <w:sz w:val="21"/>
                <w:szCs w:val="21"/>
              </w:rPr>
            </w:pPr>
          </w:p>
        </w:tc>
        <w:tc>
          <w:tcPr>
            <w:tcW w:w="2175" w:type="dxa"/>
          </w:tcPr>
          <w:p w:rsidR="003D04EE" w:rsidRDefault="003D04EE">
            <w:pPr>
              <w:pStyle w:val="a7"/>
              <w:spacing w:before="0" w:beforeAutospacing="0" w:after="0" w:afterAutospacing="0"/>
              <w:rPr>
                <w:color w:val="000000" w:themeColor="text1"/>
                <w:sz w:val="21"/>
                <w:szCs w:val="21"/>
              </w:rPr>
            </w:pPr>
          </w:p>
        </w:tc>
      </w:tr>
      <w:tr w:rsidR="003D04EE">
        <w:trPr>
          <w:trHeight w:val="1069"/>
        </w:trPr>
        <w:tc>
          <w:tcPr>
            <w:tcW w:w="1459" w:type="dxa"/>
            <w:vAlign w:val="center"/>
          </w:tcPr>
          <w:p w:rsidR="003D04EE" w:rsidRDefault="003D04EE">
            <w:pPr>
              <w:pStyle w:val="a7"/>
              <w:spacing w:before="0" w:beforeAutospacing="0" w:after="0" w:afterAutospacing="0"/>
              <w:jc w:val="center"/>
              <w:rPr>
                <w:color w:val="000000" w:themeColor="text1"/>
                <w:sz w:val="21"/>
                <w:szCs w:val="21"/>
              </w:rPr>
            </w:pPr>
          </w:p>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备注</w:t>
            </w:r>
          </w:p>
        </w:tc>
        <w:tc>
          <w:tcPr>
            <w:tcW w:w="7325" w:type="dxa"/>
            <w:gridSpan w:val="3"/>
          </w:tcPr>
          <w:p w:rsidR="003D04EE" w:rsidRDefault="003D04EE">
            <w:pPr>
              <w:pStyle w:val="a7"/>
              <w:spacing w:before="0" w:beforeAutospacing="0" w:after="0" w:afterAutospacing="0"/>
              <w:rPr>
                <w:color w:val="000000" w:themeColor="text1"/>
                <w:sz w:val="21"/>
                <w:szCs w:val="21"/>
              </w:rPr>
            </w:pPr>
          </w:p>
        </w:tc>
      </w:tr>
    </w:tbl>
    <w:p w:rsidR="003D04EE" w:rsidRDefault="003F2E0E">
      <w:pPr>
        <w:pStyle w:val="a7"/>
        <w:spacing w:before="0" w:beforeAutospacing="0" w:after="0" w:afterAutospacing="0"/>
        <w:rPr>
          <w:color w:val="000000" w:themeColor="text1"/>
          <w:sz w:val="18"/>
          <w:szCs w:val="18"/>
        </w:rPr>
      </w:pPr>
      <w:r>
        <w:rPr>
          <w:rFonts w:hint="eastAsia"/>
          <w:color w:val="000000" w:themeColor="text1"/>
          <w:sz w:val="18"/>
          <w:szCs w:val="18"/>
        </w:rPr>
        <w:t>备注：如果检查无异常、已保养的设备直接在情况登记处填打“√”。</w:t>
      </w: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p>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t>附录</w:t>
      </w:r>
      <w:r>
        <w:rPr>
          <w:rFonts w:ascii="仿宋" w:eastAsia="仿宋" w:hAnsi="仿宋" w:cs="仿宋_GB2312" w:hint="eastAsia"/>
          <w:b/>
          <w:bCs/>
          <w:color w:val="000000" w:themeColor="text1"/>
          <w:sz w:val="28"/>
          <w:szCs w:val="28"/>
        </w:rPr>
        <w:t>C</w:t>
      </w:r>
      <w:r>
        <w:rPr>
          <w:rFonts w:ascii="仿宋" w:eastAsia="仿宋" w:hAnsi="仿宋" w:cs="仿宋_GB2312" w:hint="eastAsia"/>
          <w:b/>
          <w:bCs/>
          <w:color w:val="000000" w:themeColor="text1"/>
          <w:sz w:val="28"/>
          <w:szCs w:val="28"/>
        </w:rPr>
        <w:t>（参考性附录）</w:t>
      </w:r>
    </w:p>
    <w:p w:rsidR="003D04EE" w:rsidRDefault="003F2E0E">
      <w:pPr>
        <w:pStyle w:val="a7"/>
        <w:shd w:val="clear" w:color="auto" w:fill="FFFFFF"/>
        <w:spacing w:before="0" w:beforeAutospacing="0" w:after="0" w:afterAutospacing="0" w:line="400" w:lineRule="exact"/>
        <w:jc w:val="center"/>
        <w:rPr>
          <w:rFonts w:ascii="仿宋" w:eastAsia="仿宋" w:hAnsi="仿宋" w:cs="仿宋_GB2312"/>
          <w:b/>
          <w:bCs/>
          <w:color w:val="000000" w:themeColor="text1"/>
          <w:sz w:val="28"/>
          <w:szCs w:val="28"/>
        </w:rPr>
      </w:pPr>
      <w:r>
        <w:rPr>
          <w:rFonts w:ascii="仿宋" w:eastAsia="仿宋" w:hAnsi="仿宋" w:cs="仿宋_GB2312" w:hint="eastAsia"/>
          <w:b/>
          <w:bCs/>
          <w:color w:val="000000" w:themeColor="text1"/>
          <w:sz w:val="28"/>
          <w:szCs w:val="28"/>
        </w:rPr>
        <w:t>污水治理设备运行维修登记表</w:t>
      </w:r>
    </w:p>
    <w:tbl>
      <w:tblPr>
        <w:tblStyle w:val="a9"/>
        <w:tblW w:w="0" w:type="auto"/>
        <w:tblLook w:val="04A0" w:firstRow="1" w:lastRow="0" w:firstColumn="1" w:lastColumn="0" w:noHBand="0" w:noVBand="1"/>
      </w:tblPr>
      <w:tblGrid>
        <w:gridCol w:w="624"/>
        <w:gridCol w:w="1545"/>
        <w:gridCol w:w="1320"/>
        <w:gridCol w:w="1215"/>
        <w:gridCol w:w="1200"/>
        <w:gridCol w:w="1400"/>
        <w:gridCol w:w="1218"/>
      </w:tblGrid>
      <w:tr w:rsidR="003D04EE">
        <w:trPr>
          <w:trHeight w:val="422"/>
        </w:trPr>
        <w:tc>
          <w:tcPr>
            <w:tcW w:w="62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报修前填写</w:t>
            </w: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报修部门</w:t>
            </w:r>
          </w:p>
        </w:tc>
        <w:tc>
          <w:tcPr>
            <w:tcW w:w="1320" w:type="dxa"/>
            <w:vAlign w:val="center"/>
          </w:tcPr>
          <w:p w:rsidR="003D04EE" w:rsidRDefault="003D04EE">
            <w:pPr>
              <w:pStyle w:val="a7"/>
              <w:spacing w:before="0" w:beforeAutospacing="0" w:after="0" w:afterAutospacing="0"/>
              <w:jc w:val="center"/>
              <w:rPr>
                <w:color w:val="000000" w:themeColor="text1"/>
                <w:sz w:val="21"/>
                <w:szCs w:val="21"/>
              </w:rPr>
            </w:pPr>
          </w:p>
        </w:tc>
        <w:tc>
          <w:tcPr>
            <w:tcW w:w="121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报修人</w:t>
            </w:r>
          </w:p>
        </w:tc>
        <w:tc>
          <w:tcPr>
            <w:tcW w:w="1200" w:type="dxa"/>
            <w:vAlign w:val="center"/>
          </w:tcPr>
          <w:p w:rsidR="003D04EE" w:rsidRDefault="003D04EE">
            <w:pPr>
              <w:pStyle w:val="a7"/>
              <w:spacing w:before="0" w:beforeAutospacing="0" w:after="0" w:afterAutospacing="0"/>
              <w:jc w:val="center"/>
              <w:rPr>
                <w:color w:val="000000" w:themeColor="text1"/>
                <w:sz w:val="21"/>
                <w:szCs w:val="21"/>
              </w:rPr>
            </w:pPr>
          </w:p>
        </w:tc>
        <w:tc>
          <w:tcPr>
            <w:tcW w:w="140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报修部门负责人（签字）</w:t>
            </w:r>
          </w:p>
        </w:tc>
        <w:tc>
          <w:tcPr>
            <w:tcW w:w="1218" w:type="dxa"/>
          </w:tcPr>
          <w:p w:rsidR="003D04EE" w:rsidRDefault="003D04EE">
            <w:pPr>
              <w:pStyle w:val="a7"/>
              <w:spacing w:before="0" w:beforeAutospacing="0" w:after="0" w:afterAutospacing="0"/>
              <w:jc w:val="center"/>
              <w:rPr>
                <w:color w:val="000000" w:themeColor="text1"/>
                <w:sz w:val="21"/>
                <w:szCs w:val="21"/>
              </w:rPr>
            </w:pPr>
          </w:p>
        </w:tc>
      </w:tr>
      <w:tr w:rsidR="003D04EE">
        <w:tc>
          <w:tcPr>
            <w:tcW w:w="62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报修时间</w:t>
            </w:r>
          </w:p>
        </w:tc>
        <w:tc>
          <w:tcPr>
            <w:tcW w:w="1320" w:type="dxa"/>
            <w:vAlign w:val="center"/>
          </w:tcPr>
          <w:p w:rsidR="003D04EE" w:rsidRDefault="003D04EE">
            <w:pPr>
              <w:pStyle w:val="a7"/>
              <w:spacing w:before="0" w:beforeAutospacing="0" w:after="0" w:afterAutospacing="0"/>
              <w:jc w:val="center"/>
              <w:rPr>
                <w:color w:val="000000" w:themeColor="text1"/>
                <w:sz w:val="21"/>
                <w:szCs w:val="21"/>
              </w:rPr>
            </w:pPr>
          </w:p>
        </w:tc>
        <w:tc>
          <w:tcPr>
            <w:tcW w:w="121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维修项目</w:t>
            </w:r>
          </w:p>
        </w:tc>
        <w:tc>
          <w:tcPr>
            <w:tcW w:w="1200" w:type="dxa"/>
            <w:vAlign w:val="center"/>
          </w:tcPr>
          <w:p w:rsidR="003D04EE" w:rsidRDefault="003D04EE">
            <w:pPr>
              <w:pStyle w:val="a7"/>
              <w:spacing w:before="0" w:beforeAutospacing="0" w:after="0" w:afterAutospacing="0"/>
              <w:jc w:val="center"/>
              <w:rPr>
                <w:color w:val="000000" w:themeColor="text1"/>
                <w:sz w:val="21"/>
                <w:szCs w:val="21"/>
              </w:rPr>
            </w:pPr>
          </w:p>
        </w:tc>
        <w:tc>
          <w:tcPr>
            <w:tcW w:w="1400"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设备品牌（型号）</w:t>
            </w:r>
          </w:p>
        </w:tc>
        <w:tc>
          <w:tcPr>
            <w:tcW w:w="1218" w:type="dxa"/>
          </w:tcPr>
          <w:p w:rsidR="003D04EE" w:rsidRDefault="003D04EE">
            <w:pPr>
              <w:pStyle w:val="a7"/>
              <w:spacing w:before="0" w:beforeAutospacing="0" w:after="0" w:afterAutospacing="0"/>
              <w:jc w:val="center"/>
              <w:rPr>
                <w:color w:val="000000" w:themeColor="text1"/>
                <w:sz w:val="21"/>
                <w:szCs w:val="21"/>
              </w:rPr>
            </w:pPr>
          </w:p>
        </w:tc>
      </w:tr>
      <w:tr w:rsidR="003D04EE">
        <w:trPr>
          <w:trHeight w:val="952"/>
        </w:trPr>
        <w:tc>
          <w:tcPr>
            <w:tcW w:w="62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故障现象描述</w:t>
            </w:r>
          </w:p>
        </w:tc>
        <w:tc>
          <w:tcPr>
            <w:tcW w:w="6353" w:type="dxa"/>
            <w:gridSpan w:val="5"/>
          </w:tcPr>
          <w:p w:rsidR="003D04EE" w:rsidRDefault="003D04EE">
            <w:pPr>
              <w:pStyle w:val="a7"/>
              <w:spacing w:before="0" w:beforeAutospacing="0" w:after="0" w:afterAutospacing="0"/>
              <w:rPr>
                <w:color w:val="000000" w:themeColor="text1"/>
                <w:sz w:val="21"/>
                <w:szCs w:val="21"/>
              </w:rPr>
            </w:pPr>
          </w:p>
        </w:tc>
      </w:tr>
      <w:tr w:rsidR="003D04EE">
        <w:trPr>
          <w:trHeight w:val="1241"/>
        </w:trPr>
        <w:tc>
          <w:tcPr>
            <w:tcW w:w="62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维修填写</w:t>
            </w: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故障判定</w:t>
            </w:r>
            <w:r>
              <w:rPr>
                <w:rFonts w:hint="eastAsia"/>
                <w:color w:val="000000" w:themeColor="text1"/>
                <w:sz w:val="21"/>
                <w:szCs w:val="21"/>
              </w:rPr>
              <w:t>/</w:t>
            </w:r>
            <w:r>
              <w:rPr>
                <w:rFonts w:hint="eastAsia"/>
                <w:color w:val="000000" w:themeColor="text1"/>
                <w:sz w:val="21"/>
                <w:szCs w:val="21"/>
              </w:rPr>
              <w:t>原因分析</w:t>
            </w:r>
          </w:p>
        </w:tc>
        <w:tc>
          <w:tcPr>
            <w:tcW w:w="6353" w:type="dxa"/>
            <w:gridSpan w:val="5"/>
          </w:tcPr>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机器故障</w:t>
            </w:r>
            <w:r>
              <w:rPr>
                <w:rFonts w:hint="eastAsia"/>
                <w:color w:val="000000" w:themeColor="text1"/>
                <w:sz w:val="21"/>
                <w:szCs w:val="21"/>
              </w:rPr>
              <w:t xml:space="preserve">      </w:t>
            </w:r>
            <w:r>
              <w:rPr>
                <w:rFonts w:hint="eastAsia"/>
                <w:color w:val="000000" w:themeColor="text1"/>
                <w:sz w:val="21"/>
                <w:szCs w:val="21"/>
              </w:rPr>
              <w:sym w:font="Wingdings 2" w:char="00A3"/>
            </w:r>
            <w:r>
              <w:rPr>
                <w:rFonts w:hint="eastAsia"/>
                <w:color w:val="000000" w:themeColor="text1"/>
                <w:sz w:val="21"/>
                <w:szCs w:val="21"/>
              </w:rPr>
              <w:t>操作不当</w:t>
            </w:r>
            <w:r>
              <w:rPr>
                <w:rFonts w:hint="eastAsia"/>
                <w:color w:val="000000" w:themeColor="text1"/>
                <w:sz w:val="21"/>
                <w:szCs w:val="21"/>
              </w:rPr>
              <w:t xml:space="preserve">      </w:t>
            </w:r>
            <w:r>
              <w:rPr>
                <w:rFonts w:hint="eastAsia"/>
                <w:color w:val="000000" w:themeColor="text1"/>
                <w:sz w:val="21"/>
                <w:szCs w:val="21"/>
              </w:rPr>
              <w:sym w:font="Wingdings 2" w:char="00A3"/>
            </w:r>
            <w:r>
              <w:rPr>
                <w:rFonts w:hint="eastAsia"/>
                <w:color w:val="000000" w:themeColor="text1"/>
                <w:sz w:val="21"/>
                <w:szCs w:val="21"/>
              </w:rPr>
              <w:t>人为损坏</w:t>
            </w:r>
          </w:p>
          <w:p w:rsidR="003D04EE" w:rsidRDefault="003D04EE">
            <w:pPr>
              <w:pStyle w:val="a7"/>
              <w:spacing w:before="0" w:beforeAutospacing="0" w:after="0" w:afterAutospacing="0"/>
              <w:rPr>
                <w:color w:val="000000" w:themeColor="text1"/>
                <w:sz w:val="21"/>
                <w:szCs w:val="21"/>
              </w:rPr>
            </w:pPr>
          </w:p>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其他：</w:t>
            </w:r>
          </w:p>
        </w:tc>
      </w:tr>
      <w:tr w:rsidR="003D04EE">
        <w:tc>
          <w:tcPr>
            <w:tcW w:w="62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处理结果</w:t>
            </w:r>
          </w:p>
        </w:tc>
        <w:tc>
          <w:tcPr>
            <w:tcW w:w="6353" w:type="dxa"/>
            <w:gridSpan w:val="5"/>
          </w:tcPr>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问题排除</w:t>
            </w:r>
            <w:r>
              <w:rPr>
                <w:rFonts w:hint="eastAsia"/>
                <w:color w:val="000000" w:themeColor="text1"/>
                <w:sz w:val="21"/>
                <w:szCs w:val="21"/>
              </w:rPr>
              <w:t xml:space="preserve">      </w:t>
            </w:r>
            <w:r>
              <w:rPr>
                <w:rFonts w:hint="eastAsia"/>
                <w:color w:val="000000" w:themeColor="text1"/>
                <w:sz w:val="21"/>
                <w:szCs w:val="21"/>
              </w:rPr>
              <w:sym w:font="Wingdings 2" w:char="00A3"/>
            </w:r>
            <w:r>
              <w:rPr>
                <w:rFonts w:hint="eastAsia"/>
                <w:color w:val="000000" w:themeColor="text1"/>
                <w:sz w:val="21"/>
                <w:szCs w:val="21"/>
              </w:rPr>
              <w:t>报废更换</w:t>
            </w:r>
            <w:r>
              <w:rPr>
                <w:rFonts w:hint="eastAsia"/>
                <w:color w:val="000000" w:themeColor="text1"/>
                <w:sz w:val="21"/>
                <w:szCs w:val="21"/>
              </w:rPr>
              <w:t xml:space="preserve">      </w:t>
            </w:r>
            <w:r>
              <w:rPr>
                <w:rFonts w:hint="eastAsia"/>
                <w:color w:val="000000" w:themeColor="text1"/>
                <w:sz w:val="21"/>
                <w:szCs w:val="21"/>
              </w:rPr>
              <w:sym w:font="Wingdings 2" w:char="00A3"/>
            </w:r>
            <w:r>
              <w:rPr>
                <w:rFonts w:hint="eastAsia"/>
                <w:color w:val="000000" w:themeColor="text1"/>
                <w:sz w:val="21"/>
                <w:szCs w:val="21"/>
              </w:rPr>
              <w:t>请第三方修理</w:t>
            </w:r>
          </w:p>
        </w:tc>
      </w:tr>
      <w:tr w:rsidR="003D04EE">
        <w:trPr>
          <w:trHeight w:val="3493"/>
        </w:trPr>
        <w:tc>
          <w:tcPr>
            <w:tcW w:w="62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维修内容</w:t>
            </w:r>
          </w:p>
        </w:tc>
        <w:tc>
          <w:tcPr>
            <w:tcW w:w="6353" w:type="dxa"/>
            <w:gridSpan w:val="5"/>
          </w:tcPr>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D04EE">
            <w:pPr>
              <w:pStyle w:val="a7"/>
              <w:spacing w:before="0" w:beforeAutospacing="0" w:after="0" w:afterAutospacing="0"/>
              <w:jc w:val="center"/>
              <w:rPr>
                <w:color w:val="000000" w:themeColor="text1"/>
                <w:sz w:val="21"/>
                <w:szCs w:val="21"/>
              </w:rPr>
            </w:pPr>
          </w:p>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 xml:space="preserve">                                 </w:t>
            </w:r>
            <w:r>
              <w:rPr>
                <w:rFonts w:hint="eastAsia"/>
                <w:color w:val="000000" w:themeColor="text1"/>
                <w:sz w:val="21"/>
                <w:szCs w:val="21"/>
              </w:rPr>
              <w:t>维修人员</w:t>
            </w:r>
          </w:p>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 xml:space="preserve">                                   </w:t>
            </w:r>
            <w:r>
              <w:rPr>
                <w:rFonts w:hint="eastAsia"/>
                <w:color w:val="000000" w:themeColor="text1"/>
                <w:sz w:val="21"/>
                <w:szCs w:val="21"/>
              </w:rPr>
              <w:t>签字：</w:t>
            </w:r>
          </w:p>
        </w:tc>
      </w:tr>
      <w:tr w:rsidR="003D04EE">
        <w:trPr>
          <w:trHeight w:val="312"/>
        </w:trPr>
        <w:tc>
          <w:tcPr>
            <w:tcW w:w="624" w:type="dxa"/>
            <w:vMerge/>
            <w:vAlign w:val="center"/>
          </w:tcPr>
          <w:p w:rsidR="003D04EE" w:rsidRDefault="003D04EE">
            <w:pPr>
              <w:pStyle w:val="a7"/>
              <w:spacing w:before="0" w:beforeAutospacing="0" w:after="0" w:afterAutospacing="0"/>
              <w:jc w:val="center"/>
              <w:rPr>
                <w:color w:val="000000" w:themeColor="text1"/>
                <w:sz w:val="21"/>
                <w:szCs w:val="21"/>
              </w:rPr>
            </w:pP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故障排除时间</w:t>
            </w:r>
          </w:p>
        </w:tc>
        <w:tc>
          <w:tcPr>
            <w:tcW w:w="6353" w:type="dxa"/>
            <w:gridSpan w:val="5"/>
          </w:tcPr>
          <w:p w:rsidR="003D04EE" w:rsidRDefault="003D04EE">
            <w:pPr>
              <w:pStyle w:val="a7"/>
              <w:wordWrap w:val="0"/>
              <w:spacing w:before="0" w:beforeAutospacing="0" w:after="0" w:afterAutospacing="0"/>
              <w:jc w:val="right"/>
              <w:rPr>
                <w:color w:val="000000" w:themeColor="text1"/>
                <w:sz w:val="21"/>
                <w:szCs w:val="21"/>
              </w:rPr>
            </w:pPr>
          </w:p>
          <w:p w:rsidR="003D04EE" w:rsidRDefault="003F2E0E">
            <w:pPr>
              <w:pStyle w:val="a7"/>
              <w:wordWrap w:val="0"/>
              <w:spacing w:before="0" w:beforeAutospacing="0" w:after="0" w:afterAutospacing="0"/>
              <w:jc w:val="right"/>
              <w:rPr>
                <w:color w:val="000000" w:themeColor="text1"/>
                <w:sz w:val="21"/>
                <w:szCs w:val="21"/>
              </w:rPr>
            </w:pPr>
            <w:r>
              <w:rPr>
                <w:rFonts w:hint="eastAsia"/>
                <w:color w:val="000000" w:themeColor="text1"/>
                <w:sz w:val="21"/>
                <w:szCs w:val="21"/>
              </w:rPr>
              <w:t>年</w:t>
            </w:r>
            <w:r>
              <w:rPr>
                <w:rFonts w:hint="eastAsia"/>
                <w:color w:val="000000" w:themeColor="text1"/>
                <w:sz w:val="21"/>
                <w:szCs w:val="21"/>
              </w:rPr>
              <w:t xml:space="preserve">  </w:t>
            </w:r>
            <w:r>
              <w:rPr>
                <w:rFonts w:hint="eastAsia"/>
                <w:color w:val="000000" w:themeColor="text1"/>
                <w:sz w:val="21"/>
                <w:szCs w:val="21"/>
              </w:rPr>
              <w:t>月</w:t>
            </w:r>
            <w:r>
              <w:rPr>
                <w:rFonts w:hint="eastAsia"/>
                <w:color w:val="000000" w:themeColor="text1"/>
                <w:sz w:val="21"/>
                <w:szCs w:val="21"/>
              </w:rPr>
              <w:t xml:space="preserve">  </w:t>
            </w:r>
            <w:r>
              <w:rPr>
                <w:rFonts w:hint="eastAsia"/>
                <w:color w:val="000000" w:themeColor="text1"/>
                <w:sz w:val="21"/>
                <w:szCs w:val="21"/>
              </w:rPr>
              <w:t>日</w:t>
            </w:r>
            <w:r>
              <w:rPr>
                <w:rFonts w:hint="eastAsia"/>
                <w:color w:val="000000" w:themeColor="text1"/>
                <w:sz w:val="21"/>
                <w:szCs w:val="21"/>
              </w:rPr>
              <w:t xml:space="preserve">  </w:t>
            </w:r>
            <w:r>
              <w:rPr>
                <w:rFonts w:hint="eastAsia"/>
                <w:color w:val="000000" w:themeColor="text1"/>
                <w:sz w:val="21"/>
                <w:szCs w:val="21"/>
              </w:rPr>
              <w:t>时</w:t>
            </w:r>
            <w:r>
              <w:rPr>
                <w:rFonts w:hint="eastAsia"/>
                <w:color w:val="000000" w:themeColor="text1"/>
                <w:sz w:val="21"/>
                <w:szCs w:val="21"/>
              </w:rPr>
              <w:t xml:space="preserve">  </w:t>
            </w:r>
            <w:r>
              <w:rPr>
                <w:rFonts w:hint="eastAsia"/>
                <w:color w:val="000000" w:themeColor="text1"/>
                <w:sz w:val="21"/>
                <w:szCs w:val="21"/>
              </w:rPr>
              <w:t>分</w:t>
            </w:r>
          </w:p>
        </w:tc>
      </w:tr>
      <w:tr w:rsidR="003D04EE">
        <w:trPr>
          <w:trHeight w:val="1546"/>
        </w:trPr>
        <w:tc>
          <w:tcPr>
            <w:tcW w:w="624" w:type="dxa"/>
            <w:vMerge w:val="restart"/>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验收填写</w:t>
            </w:r>
          </w:p>
        </w:tc>
        <w:tc>
          <w:tcPr>
            <w:tcW w:w="1545" w:type="dxa"/>
            <w:vAlign w:val="center"/>
          </w:tcPr>
          <w:p w:rsidR="003D04EE" w:rsidRDefault="003F2E0E">
            <w:pPr>
              <w:pStyle w:val="a7"/>
              <w:spacing w:before="0" w:beforeAutospacing="0" w:after="0" w:afterAutospacing="0"/>
              <w:jc w:val="center"/>
              <w:rPr>
                <w:color w:val="000000" w:themeColor="text1"/>
                <w:sz w:val="21"/>
                <w:szCs w:val="21"/>
              </w:rPr>
            </w:pPr>
            <w:r>
              <w:rPr>
                <w:rFonts w:hint="eastAsia"/>
                <w:color w:val="000000" w:themeColor="text1"/>
                <w:sz w:val="21"/>
                <w:szCs w:val="21"/>
              </w:rPr>
              <w:t>报修部门验收记录</w:t>
            </w:r>
          </w:p>
        </w:tc>
        <w:tc>
          <w:tcPr>
            <w:tcW w:w="6353" w:type="dxa"/>
            <w:gridSpan w:val="5"/>
          </w:tcPr>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符合要求</w:t>
            </w:r>
          </w:p>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sym w:font="Wingdings 2" w:char="00A3"/>
            </w:r>
            <w:r>
              <w:rPr>
                <w:rFonts w:hint="eastAsia"/>
                <w:color w:val="000000" w:themeColor="text1"/>
                <w:sz w:val="21"/>
                <w:szCs w:val="21"/>
              </w:rPr>
              <w:t>不符合要求，简要说明：</w:t>
            </w:r>
          </w:p>
        </w:tc>
      </w:tr>
      <w:tr w:rsidR="003D04EE">
        <w:trPr>
          <w:trHeight w:val="614"/>
        </w:trPr>
        <w:tc>
          <w:tcPr>
            <w:tcW w:w="624" w:type="dxa"/>
            <w:vMerge/>
          </w:tcPr>
          <w:p w:rsidR="003D04EE" w:rsidRDefault="003D04EE">
            <w:pPr>
              <w:pStyle w:val="a7"/>
              <w:spacing w:before="0" w:beforeAutospacing="0" w:after="0" w:afterAutospacing="0"/>
              <w:rPr>
                <w:color w:val="000000" w:themeColor="text1"/>
                <w:sz w:val="21"/>
                <w:szCs w:val="21"/>
              </w:rPr>
            </w:pPr>
          </w:p>
        </w:tc>
        <w:tc>
          <w:tcPr>
            <w:tcW w:w="1545" w:type="dxa"/>
          </w:tcPr>
          <w:p w:rsidR="003D04EE" w:rsidRDefault="003F2E0E">
            <w:pPr>
              <w:pStyle w:val="a7"/>
              <w:spacing w:before="0" w:beforeAutospacing="0" w:after="0" w:afterAutospacing="0"/>
              <w:rPr>
                <w:color w:val="000000" w:themeColor="text1"/>
                <w:sz w:val="21"/>
                <w:szCs w:val="21"/>
              </w:rPr>
            </w:pPr>
            <w:r>
              <w:rPr>
                <w:rFonts w:hint="eastAsia"/>
                <w:color w:val="000000" w:themeColor="text1"/>
                <w:sz w:val="21"/>
                <w:szCs w:val="21"/>
              </w:rPr>
              <w:t>报修部门负责人（签章）</w:t>
            </w:r>
          </w:p>
        </w:tc>
        <w:tc>
          <w:tcPr>
            <w:tcW w:w="6353" w:type="dxa"/>
            <w:gridSpan w:val="5"/>
          </w:tcPr>
          <w:p w:rsidR="003D04EE" w:rsidRDefault="003D04EE">
            <w:pPr>
              <w:pStyle w:val="a7"/>
              <w:spacing w:before="0" w:beforeAutospacing="0" w:after="0" w:afterAutospacing="0"/>
              <w:rPr>
                <w:color w:val="000000" w:themeColor="text1"/>
                <w:sz w:val="21"/>
                <w:szCs w:val="21"/>
              </w:rPr>
            </w:pPr>
          </w:p>
        </w:tc>
      </w:tr>
    </w:tbl>
    <w:p w:rsidR="003D04EE" w:rsidRDefault="003D04EE">
      <w:pPr>
        <w:pStyle w:val="a7"/>
        <w:shd w:val="clear" w:color="auto" w:fill="FFFFFF"/>
        <w:spacing w:before="0" w:beforeAutospacing="0" w:after="0" w:afterAutospacing="0" w:line="480" w:lineRule="atLeast"/>
        <w:ind w:firstLineChars="200" w:firstLine="640"/>
        <w:rPr>
          <w:rFonts w:ascii="仿宋" w:eastAsia="仿宋" w:hAnsi="仿宋" w:cs="仿宋_GB2312"/>
          <w:color w:val="000000" w:themeColor="text1"/>
          <w:sz w:val="32"/>
          <w:szCs w:val="32"/>
        </w:rPr>
      </w:pPr>
    </w:p>
    <w:p w:rsidR="003D04EE" w:rsidRDefault="003D04EE">
      <w:pPr>
        <w:pStyle w:val="a7"/>
        <w:spacing w:before="0" w:beforeAutospacing="0" w:after="0" w:afterAutospacing="0"/>
        <w:jc w:val="both"/>
        <w:rPr>
          <w:sz w:val="21"/>
          <w:szCs w:val="21"/>
        </w:rPr>
      </w:pPr>
    </w:p>
    <w:sectPr w:rsidR="003D04EE">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E0E" w:rsidRDefault="003F2E0E">
      <w:r>
        <w:separator/>
      </w:r>
    </w:p>
  </w:endnote>
  <w:endnote w:type="continuationSeparator" w:id="0">
    <w:p w:rsidR="003F2E0E" w:rsidRDefault="003F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772532"/>
    </w:sdtPr>
    <w:sdtEndPr/>
    <w:sdtContent>
      <w:p w:rsidR="003D04EE" w:rsidRDefault="003F2E0E">
        <w:pPr>
          <w:pStyle w:val="a5"/>
          <w:jc w:val="center"/>
        </w:pPr>
        <w:r>
          <w:fldChar w:fldCharType="begin"/>
        </w:r>
        <w:r>
          <w:instrText xml:space="preserve"> PAGE   \* MERGEFORMAT </w:instrText>
        </w:r>
        <w:r>
          <w:fldChar w:fldCharType="separate"/>
        </w:r>
        <w:r w:rsidR="004142A4" w:rsidRPr="004142A4">
          <w:rPr>
            <w:noProof/>
            <w:lang w:val="zh-CN"/>
          </w:rPr>
          <w:t>2</w:t>
        </w:r>
        <w:r>
          <w:rPr>
            <w:lang w:val="zh-CN"/>
          </w:rPr>
          <w:fldChar w:fldCharType="end"/>
        </w:r>
      </w:p>
    </w:sdtContent>
  </w:sdt>
  <w:p w:rsidR="003D04EE" w:rsidRDefault="003D04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E0E" w:rsidRDefault="003F2E0E">
      <w:r>
        <w:separator/>
      </w:r>
    </w:p>
  </w:footnote>
  <w:footnote w:type="continuationSeparator" w:id="0">
    <w:p w:rsidR="003F2E0E" w:rsidRDefault="003F2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1EF"/>
    <w:multiLevelType w:val="multilevel"/>
    <w:tmpl w:val="100B31E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7B25B63"/>
    <w:multiLevelType w:val="multilevel"/>
    <w:tmpl w:val="67B25B63"/>
    <w:lvl w:ilvl="0">
      <w:start w:val="3"/>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DE4BEA"/>
    <w:multiLevelType w:val="multilevel"/>
    <w:tmpl w:val="68DE4BEA"/>
    <w:lvl w:ilvl="0">
      <w:start w:val="1"/>
      <w:numFmt w:val="japaneseCounting"/>
      <w:lvlText w:val="第%1章"/>
      <w:lvlJc w:val="left"/>
      <w:pPr>
        <w:ind w:left="1215" w:hanging="12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lignBordersAndEdg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ZGViNGU5NGE5ZGQzNGM1OWRkNTEzZjIwY2ZhYzMifQ=="/>
  </w:docVars>
  <w:rsids>
    <w:rsidRoot w:val="00A91DF6"/>
    <w:rsid w:val="000115D3"/>
    <w:rsid w:val="000120AC"/>
    <w:rsid w:val="0001580E"/>
    <w:rsid w:val="00022DBF"/>
    <w:rsid w:val="00041995"/>
    <w:rsid w:val="000527FF"/>
    <w:rsid w:val="00060BC0"/>
    <w:rsid w:val="00065CDE"/>
    <w:rsid w:val="00072086"/>
    <w:rsid w:val="00077E68"/>
    <w:rsid w:val="0009015B"/>
    <w:rsid w:val="000B52B0"/>
    <w:rsid w:val="000B58E7"/>
    <w:rsid w:val="000C4B81"/>
    <w:rsid w:val="000E55DE"/>
    <w:rsid w:val="001002A5"/>
    <w:rsid w:val="001478FB"/>
    <w:rsid w:val="001478FF"/>
    <w:rsid w:val="001548B9"/>
    <w:rsid w:val="00161EDA"/>
    <w:rsid w:val="0016242A"/>
    <w:rsid w:val="0017076F"/>
    <w:rsid w:val="00177EDA"/>
    <w:rsid w:val="0018478D"/>
    <w:rsid w:val="0019130C"/>
    <w:rsid w:val="001B24F0"/>
    <w:rsid w:val="001D3938"/>
    <w:rsid w:val="001F747D"/>
    <w:rsid w:val="00211016"/>
    <w:rsid w:val="00225A80"/>
    <w:rsid w:val="00231AC0"/>
    <w:rsid w:val="00250F62"/>
    <w:rsid w:val="00271B0D"/>
    <w:rsid w:val="00283F40"/>
    <w:rsid w:val="002A4CA1"/>
    <w:rsid w:val="002C12BF"/>
    <w:rsid w:val="002C2FC3"/>
    <w:rsid w:val="002C36A0"/>
    <w:rsid w:val="002C74B5"/>
    <w:rsid w:val="002D0DE0"/>
    <w:rsid w:val="002D3279"/>
    <w:rsid w:val="002E65C0"/>
    <w:rsid w:val="002F4B0A"/>
    <w:rsid w:val="002F6049"/>
    <w:rsid w:val="003131CA"/>
    <w:rsid w:val="003152CC"/>
    <w:rsid w:val="00341C4E"/>
    <w:rsid w:val="00353332"/>
    <w:rsid w:val="00367CDA"/>
    <w:rsid w:val="003716D4"/>
    <w:rsid w:val="003805AF"/>
    <w:rsid w:val="003A479F"/>
    <w:rsid w:val="003A49EF"/>
    <w:rsid w:val="003A5542"/>
    <w:rsid w:val="003B3F58"/>
    <w:rsid w:val="003B6ACA"/>
    <w:rsid w:val="003C6463"/>
    <w:rsid w:val="003D04EE"/>
    <w:rsid w:val="003D368D"/>
    <w:rsid w:val="003E7ABD"/>
    <w:rsid w:val="003F2B75"/>
    <w:rsid w:val="003F2E0E"/>
    <w:rsid w:val="003F3B5E"/>
    <w:rsid w:val="00407344"/>
    <w:rsid w:val="00407A7F"/>
    <w:rsid w:val="004123F0"/>
    <w:rsid w:val="004142A4"/>
    <w:rsid w:val="004256C5"/>
    <w:rsid w:val="004522DA"/>
    <w:rsid w:val="00465FF8"/>
    <w:rsid w:val="004A5061"/>
    <w:rsid w:val="004C0B5E"/>
    <w:rsid w:val="004C3291"/>
    <w:rsid w:val="004E20FD"/>
    <w:rsid w:val="00517FB9"/>
    <w:rsid w:val="0052008B"/>
    <w:rsid w:val="00524CF6"/>
    <w:rsid w:val="005431CC"/>
    <w:rsid w:val="00547FE1"/>
    <w:rsid w:val="0058788D"/>
    <w:rsid w:val="005A27C1"/>
    <w:rsid w:val="005A7297"/>
    <w:rsid w:val="005A74A9"/>
    <w:rsid w:val="005B77EC"/>
    <w:rsid w:val="005B7A8D"/>
    <w:rsid w:val="005D5635"/>
    <w:rsid w:val="005D73F7"/>
    <w:rsid w:val="0060133B"/>
    <w:rsid w:val="00622E5A"/>
    <w:rsid w:val="006319C3"/>
    <w:rsid w:val="006328FD"/>
    <w:rsid w:val="00647308"/>
    <w:rsid w:val="00655D02"/>
    <w:rsid w:val="006572B1"/>
    <w:rsid w:val="006647BB"/>
    <w:rsid w:val="00667168"/>
    <w:rsid w:val="00671F87"/>
    <w:rsid w:val="00687E0D"/>
    <w:rsid w:val="006902DE"/>
    <w:rsid w:val="00693EB3"/>
    <w:rsid w:val="006A0D21"/>
    <w:rsid w:val="006A4DF4"/>
    <w:rsid w:val="006B3221"/>
    <w:rsid w:val="006B47B3"/>
    <w:rsid w:val="00704229"/>
    <w:rsid w:val="00716F61"/>
    <w:rsid w:val="007449B7"/>
    <w:rsid w:val="00752571"/>
    <w:rsid w:val="007669B3"/>
    <w:rsid w:val="00784BDF"/>
    <w:rsid w:val="00795A38"/>
    <w:rsid w:val="007A106B"/>
    <w:rsid w:val="007A12E7"/>
    <w:rsid w:val="007B7517"/>
    <w:rsid w:val="007B7FFD"/>
    <w:rsid w:val="007E500B"/>
    <w:rsid w:val="0080055D"/>
    <w:rsid w:val="008265A2"/>
    <w:rsid w:val="0082764C"/>
    <w:rsid w:val="00880B59"/>
    <w:rsid w:val="0088612B"/>
    <w:rsid w:val="008867DF"/>
    <w:rsid w:val="00893A7E"/>
    <w:rsid w:val="008E1DF4"/>
    <w:rsid w:val="008E7676"/>
    <w:rsid w:val="00907BBE"/>
    <w:rsid w:val="00924F02"/>
    <w:rsid w:val="00945E67"/>
    <w:rsid w:val="0098121C"/>
    <w:rsid w:val="009844AB"/>
    <w:rsid w:val="009B0C6E"/>
    <w:rsid w:val="009D7F86"/>
    <w:rsid w:val="009E3586"/>
    <w:rsid w:val="009E472D"/>
    <w:rsid w:val="009E4BA7"/>
    <w:rsid w:val="009F1079"/>
    <w:rsid w:val="00A047FB"/>
    <w:rsid w:val="00A26B09"/>
    <w:rsid w:val="00A4184F"/>
    <w:rsid w:val="00A54638"/>
    <w:rsid w:val="00A656E4"/>
    <w:rsid w:val="00A72CF2"/>
    <w:rsid w:val="00A7635F"/>
    <w:rsid w:val="00A8611B"/>
    <w:rsid w:val="00A91DF6"/>
    <w:rsid w:val="00AA1CDE"/>
    <w:rsid w:val="00AA2ED6"/>
    <w:rsid w:val="00AD4503"/>
    <w:rsid w:val="00B05B64"/>
    <w:rsid w:val="00B12273"/>
    <w:rsid w:val="00B227DE"/>
    <w:rsid w:val="00B3406B"/>
    <w:rsid w:val="00B416C1"/>
    <w:rsid w:val="00B51A71"/>
    <w:rsid w:val="00B639E5"/>
    <w:rsid w:val="00B6640F"/>
    <w:rsid w:val="00B73FA5"/>
    <w:rsid w:val="00B85316"/>
    <w:rsid w:val="00B854A9"/>
    <w:rsid w:val="00BC1085"/>
    <w:rsid w:val="00BC2360"/>
    <w:rsid w:val="00BC7D6F"/>
    <w:rsid w:val="00BD6D35"/>
    <w:rsid w:val="00BE0826"/>
    <w:rsid w:val="00BF5C5D"/>
    <w:rsid w:val="00C350EA"/>
    <w:rsid w:val="00C44CBF"/>
    <w:rsid w:val="00C620CD"/>
    <w:rsid w:val="00C65CF5"/>
    <w:rsid w:val="00C80600"/>
    <w:rsid w:val="00C91A0E"/>
    <w:rsid w:val="00C93E07"/>
    <w:rsid w:val="00CA4956"/>
    <w:rsid w:val="00CC0744"/>
    <w:rsid w:val="00CC3505"/>
    <w:rsid w:val="00CC7DFB"/>
    <w:rsid w:val="00CF52A9"/>
    <w:rsid w:val="00D05708"/>
    <w:rsid w:val="00D30518"/>
    <w:rsid w:val="00D3762E"/>
    <w:rsid w:val="00D47A6C"/>
    <w:rsid w:val="00D7300F"/>
    <w:rsid w:val="00DA1789"/>
    <w:rsid w:val="00DA6D8F"/>
    <w:rsid w:val="00DC0EFE"/>
    <w:rsid w:val="00DD6413"/>
    <w:rsid w:val="00DE3915"/>
    <w:rsid w:val="00DE5F42"/>
    <w:rsid w:val="00DF1C0A"/>
    <w:rsid w:val="00DF3E9B"/>
    <w:rsid w:val="00E02315"/>
    <w:rsid w:val="00E174E5"/>
    <w:rsid w:val="00E24CEB"/>
    <w:rsid w:val="00E24F44"/>
    <w:rsid w:val="00E267BC"/>
    <w:rsid w:val="00E30CCD"/>
    <w:rsid w:val="00E32BBE"/>
    <w:rsid w:val="00E55C89"/>
    <w:rsid w:val="00E810D5"/>
    <w:rsid w:val="00E83DE1"/>
    <w:rsid w:val="00E921C9"/>
    <w:rsid w:val="00EA40AC"/>
    <w:rsid w:val="00EA5833"/>
    <w:rsid w:val="00EB37C9"/>
    <w:rsid w:val="00EB6467"/>
    <w:rsid w:val="00EC1929"/>
    <w:rsid w:val="00ED5CC1"/>
    <w:rsid w:val="00EF3C61"/>
    <w:rsid w:val="00F03F62"/>
    <w:rsid w:val="00F26274"/>
    <w:rsid w:val="00F27174"/>
    <w:rsid w:val="00F35D41"/>
    <w:rsid w:val="00F54641"/>
    <w:rsid w:val="00F661BF"/>
    <w:rsid w:val="00F772FE"/>
    <w:rsid w:val="00F85E3F"/>
    <w:rsid w:val="00FA0107"/>
    <w:rsid w:val="00FB2742"/>
    <w:rsid w:val="00FB3B79"/>
    <w:rsid w:val="00FD5505"/>
    <w:rsid w:val="00FF7937"/>
    <w:rsid w:val="0316514E"/>
    <w:rsid w:val="04021359"/>
    <w:rsid w:val="042F1619"/>
    <w:rsid w:val="04490D71"/>
    <w:rsid w:val="044D16F6"/>
    <w:rsid w:val="0492695D"/>
    <w:rsid w:val="0559757E"/>
    <w:rsid w:val="056A0BF9"/>
    <w:rsid w:val="05745FFB"/>
    <w:rsid w:val="069870C9"/>
    <w:rsid w:val="06B175E8"/>
    <w:rsid w:val="06E550B9"/>
    <w:rsid w:val="06ED5A87"/>
    <w:rsid w:val="07443F65"/>
    <w:rsid w:val="07F117B0"/>
    <w:rsid w:val="08FF1989"/>
    <w:rsid w:val="094404D1"/>
    <w:rsid w:val="09441600"/>
    <w:rsid w:val="09923B63"/>
    <w:rsid w:val="09BE52B3"/>
    <w:rsid w:val="09F658DB"/>
    <w:rsid w:val="0A2B12DF"/>
    <w:rsid w:val="0A831262"/>
    <w:rsid w:val="0AFE33D9"/>
    <w:rsid w:val="0B1D2163"/>
    <w:rsid w:val="0BAF6B01"/>
    <w:rsid w:val="0BD80128"/>
    <w:rsid w:val="0BFE1A1C"/>
    <w:rsid w:val="0C445263"/>
    <w:rsid w:val="0C7C4834"/>
    <w:rsid w:val="0D5A7549"/>
    <w:rsid w:val="0DE507AF"/>
    <w:rsid w:val="0DF83F73"/>
    <w:rsid w:val="0E30256D"/>
    <w:rsid w:val="0ED64E11"/>
    <w:rsid w:val="0F53132A"/>
    <w:rsid w:val="0FA432E1"/>
    <w:rsid w:val="0FCF7ECB"/>
    <w:rsid w:val="0FD23292"/>
    <w:rsid w:val="0FE76007"/>
    <w:rsid w:val="106F3704"/>
    <w:rsid w:val="107145B3"/>
    <w:rsid w:val="10843B0D"/>
    <w:rsid w:val="10DB4BEB"/>
    <w:rsid w:val="10FE0AED"/>
    <w:rsid w:val="111D19C7"/>
    <w:rsid w:val="11522C12"/>
    <w:rsid w:val="119414F8"/>
    <w:rsid w:val="11DE38C9"/>
    <w:rsid w:val="121D46AA"/>
    <w:rsid w:val="125B68A8"/>
    <w:rsid w:val="12792925"/>
    <w:rsid w:val="12A24D71"/>
    <w:rsid w:val="12B23506"/>
    <w:rsid w:val="141765CC"/>
    <w:rsid w:val="14180ECA"/>
    <w:rsid w:val="14254C79"/>
    <w:rsid w:val="147072F3"/>
    <w:rsid w:val="14B53F5B"/>
    <w:rsid w:val="151E763F"/>
    <w:rsid w:val="15476E3A"/>
    <w:rsid w:val="163B7AFF"/>
    <w:rsid w:val="166609FE"/>
    <w:rsid w:val="170671B3"/>
    <w:rsid w:val="17456FD4"/>
    <w:rsid w:val="17A75105"/>
    <w:rsid w:val="189023CC"/>
    <w:rsid w:val="18AC7765"/>
    <w:rsid w:val="195B05CE"/>
    <w:rsid w:val="1A132BB1"/>
    <w:rsid w:val="1A564913"/>
    <w:rsid w:val="1A762428"/>
    <w:rsid w:val="1B174F13"/>
    <w:rsid w:val="1B2508D6"/>
    <w:rsid w:val="1B463C08"/>
    <w:rsid w:val="1D7F4E83"/>
    <w:rsid w:val="1E575551"/>
    <w:rsid w:val="1E7360E2"/>
    <w:rsid w:val="1F1A1806"/>
    <w:rsid w:val="1F6676DD"/>
    <w:rsid w:val="1FD303FC"/>
    <w:rsid w:val="202E6132"/>
    <w:rsid w:val="20A13C5D"/>
    <w:rsid w:val="21B308CA"/>
    <w:rsid w:val="2229600F"/>
    <w:rsid w:val="225A0ED1"/>
    <w:rsid w:val="22E5232F"/>
    <w:rsid w:val="2307114E"/>
    <w:rsid w:val="2372625E"/>
    <w:rsid w:val="25184746"/>
    <w:rsid w:val="252D16FE"/>
    <w:rsid w:val="25411F45"/>
    <w:rsid w:val="260A697E"/>
    <w:rsid w:val="269B3B13"/>
    <w:rsid w:val="26FE3068"/>
    <w:rsid w:val="28486092"/>
    <w:rsid w:val="285F2D5D"/>
    <w:rsid w:val="28AF1623"/>
    <w:rsid w:val="28B90B1E"/>
    <w:rsid w:val="29377249"/>
    <w:rsid w:val="295B4157"/>
    <w:rsid w:val="29DA49EF"/>
    <w:rsid w:val="2AA1099E"/>
    <w:rsid w:val="2AB00A52"/>
    <w:rsid w:val="2B220335"/>
    <w:rsid w:val="2B8225F1"/>
    <w:rsid w:val="2C3E61B1"/>
    <w:rsid w:val="2C812172"/>
    <w:rsid w:val="2CCF7D52"/>
    <w:rsid w:val="2D0A3100"/>
    <w:rsid w:val="2D466A7B"/>
    <w:rsid w:val="2D632834"/>
    <w:rsid w:val="2F116DCB"/>
    <w:rsid w:val="2F3E3E11"/>
    <w:rsid w:val="2F667F60"/>
    <w:rsid w:val="2F813A33"/>
    <w:rsid w:val="30010F57"/>
    <w:rsid w:val="30035301"/>
    <w:rsid w:val="3023079A"/>
    <w:rsid w:val="303C5047"/>
    <w:rsid w:val="304568D8"/>
    <w:rsid w:val="30825579"/>
    <w:rsid w:val="30850199"/>
    <w:rsid w:val="313264FB"/>
    <w:rsid w:val="31B0448C"/>
    <w:rsid w:val="31F0078A"/>
    <w:rsid w:val="323E4229"/>
    <w:rsid w:val="32562E0C"/>
    <w:rsid w:val="32C94F8B"/>
    <w:rsid w:val="33604EE2"/>
    <w:rsid w:val="339E7F7A"/>
    <w:rsid w:val="34213BCC"/>
    <w:rsid w:val="3459063B"/>
    <w:rsid w:val="346142CE"/>
    <w:rsid w:val="348B0E13"/>
    <w:rsid w:val="34F062EE"/>
    <w:rsid w:val="36096B71"/>
    <w:rsid w:val="36192959"/>
    <w:rsid w:val="36D8425F"/>
    <w:rsid w:val="37112CA6"/>
    <w:rsid w:val="375107F7"/>
    <w:rsid w:val="376902A4"/>
    <w:rsid w:val="37752E65"/>
    <w:rsid w:val="37FD5B4D"/>
    <w:rsid w:val="38ED688D"/>
    <w:rsid w:val="392E37B8"/>
    <w:rsid w:val="3992360A"/>
    <w:rsid w:val="39A0776E"/>
    <w:rsid w:val="3A684461"/>
    <w:rsid w:val="3B1C40A9"/>
    <w:rsid w:val="3C4765B8"/>
    <w:rsid w:val="3C570654"/>
    <w:rsid w:val="3CC74C3C"/>
    <w:rsid w:val="3D03774F"/>
    <w:rsid w:val="3D1A3B16"/>
    <w:rsid w:val="3D2913D5"/>
    <w:rsid w:val="3E974008"/>
    <w:rsid w:val="3EF45036"/>
    <w:rsid w:val="3F3D4277"/>
    <w:rsid w:val="3F4F4711"/>
    <w:rsid w:val="3F882908"/>
    <w:rsid w:val="3F92328B"/>
    <w:rsid w:val="3FE500BA"/>
    <w:rsid w:val="40270FF7"/>
    <w:rsid w:val="404A0347"/>
    <w:rsid w:val="405B4999"/>
    <w:rsid w:val="415C5CB0"/>
    <w:rsid w:val="41C2730F"/>
    <w:rsid w:val="41F97949"/>
    <w:rsid w:val="42504FF4"/>
    <w:rsid w:val="43514EBA"/>
    <w:rsid w:val="43C1419B"/>
    <w:rsid w:val="44A561FB"/>
    <w:rsid w:val="4513533C"/>
    <w:rsid w:val="453C6287"/>
    <w:rsid w:val="45870431"/>
    <w:rsid w:val="45CD3554"/>
    <w:rsid w:val="45CD7281"/>
    <w:rsid w:val="467719C9"/>
    <w:rsid w:val="46951A99"/>
    <w:rsid w:val="46E8795E"/>
    <w:rsid w:val="472075D1"/>
    <w:rsid w:val="476E0F02"/>
    <w:rsid w:val="48BB1F4C"/>
    <w:rsid w:val="48C64A5E"/>
    <w:rsid w:val="494251E9"/>
    <w:rsid w:val="498D0517"/>
    <w:rsid w:val="49CA2D28"/>
    <w:rsid w:val="4A325A3F"/>
    <w:rsid w:val="4A3515FF"/>
    <w:rsid w:val="4B20080A"/>
    <w:rsid w:val="4B351E0A"/>
    <w:rsid w:val="4B6F3F82"/>
    <w:rsid w:val="4BE90574"/>
    <w:rsid w:val="4C9A7DE4"/>
    <w:rsid w:val="4CAA14DA"/>
    <w:rsid w:val="4D8966D1"/>
    <w:rsid w:val="4D962574"/>
    <w:rsid w:val="4DA00015"/>
    <w:rsid w:val="4DA067F8"/>
    <w:rsid w:val="4E8E5B0A"/>
    <w:rsid w:val="4E904F1D"/>
    <w:rsid w:val="4F471826"/>
    <w:rsid w:val="4FC14C49"/>
    <w:rsid w:val="4FC90E85"/>
    <w:rsid w:val="514E2D0A"/>
    <w:rsid w:val="519753E7"/>
    <w:rsid w:val="51F8577B"/>
    <w:rsid w:val="527F4FA8"/>
    <w:rsid w:val="536E05F2"/>
    <w:rsid w:val="550533FB"/>
    <w:rsid w:val="552F3AF9"/>
    <w:rsid w:val="5551718B"/>
    <w:rsid w:val="55862AC0"/>
    <w:rsid w:val="558E1AA1"/>
    <w:rsid w:val="55AD6FEF"/>
    <w:rsid w:val="55B227FA"/>
    <w:rsid w:val="55C72239"/>
    <w:rsid w:val="55FD758F"/>
    <w:rsid w:val="562D4F07"/>
    <w:rsid w:val="56BB45CA"/>
    <w:rsid w:val="58162807"/>
    <w:rsid w:val="58227F08"/>
    <w:rsid w:val="587E170E"/>
    <w:rsid w:val="58C37FA6"/>
    <w:rsid w:val="59AD5483"/>
    <w:rsid w:val="5A1166BF"/>
    <w:rsid w:val="5AE45C23"/>
    <w:rsid w:val="5B0A6E79"/>
    <w:rsid w:val="5C4E4DB2"/>
    <w:rsid w:val="5CFD02F3"/>
    <w:rsid w:val="5D7D3EFB"/>
    <w:rsid w:val="5DE97B33"/>
    <w:rsid w:val="5E3339FA"/>
    <w:rsid w:val="5E4B35B8"/>
    <w:rsid w:val="5E61429B"/>
    <w:rsid w:val="5EC06B0A"/>
    <w:rsid w:val="5EDB2343"/>
    <w:rsid w:val="5F09628C"/>
    <w:rsid w:val="5F6B7B59"/>
    <w:rsid w:val="5F8E70E1"/>
    <w:rsid w:val="5FE036CB"/>
    <w:rsid w:val="61647156"/>
    <w:rsid w:val="62082A05"/>
    <w:rsid w:val="634A324D"/>
    <w:rsid w:val="645B4C0B"/>
    <w:rsid w:val="646D1E22"/>
    <w:rsid w:val="64D27C90"/>
    <w:rsid w:val="64DC249A"/>
    <w:rsid w:val="64FD44C7"/>
    <w:rsid w:val="656D48ED"/>
    <w:rsid w:val="65826F19"/>
    <w:rsid w:val="6589169E"/>
    <w:rsid w:val="658F126E"/>
    <w:rsid w:val="65BC3D3D"/>
    <w:rsid w:val="65EB647A"/>
    <w:rsid w:val="660D1BB7"/>
    <w:rsid w:val="66FB3F46"/>
    <w:rsid w:val="673453C2"/>
    <w:rsid w:val="67D5764E"/>
    <w:rsid w:val="67D84A32"/>
    <w:rsid w:val="68696842"/>
    <w:rsid w:val="686F1133"/>
    <w:rsid w:val="689525BD"/>
    <w:rsid w:val="68AA4B4B"/>
    <w:rsid w:val="6907341A"/>
    <w:rsid w:val="696900E4"/>
    <w:rsid w:val="69BE1E91"/>
    <w:rsid w:val="69FF3608"/>
    <w:rsid w:val="6A375178"/>
    <w:rsid w:val="6A6332DC"/>
    <w:rsid w:val="6AAA155B"/>
    <w:rsid w:val="6AAD204B"/>
    <w:rsid w:val="6AE52906"/>
    <w:rsid w:val="6AED1009"/>
    <w:rsid w:val="6B2B5A05"/>
    <w:rsid w:val="6B810E67"/>
    <w:rsid w:val="6BA67CD8"/>
    <w:rsid w:val="6BAC7B9A"/>
    <w:rsid w:val="6BDF3A53"/>
    <w:rsid w:val="6C6A2482"/>
    <w:rsid w:val="6D707815"/>
    <w:rsid w:val="6DA11E29"/>
    <w:rsid w:val="6DF36D25"/>
    <w:rsid w:val="6E4C30E7"/>
    <w:rsid w:val="6E9D6081"/>
    <w:rsid w:val="6EA939F0"/>
    <w:rsid w:val="6EF5692B"/>
    <w:rsid w:val="6F195071"/>
    <w:rsid w:val="6FA4181A"/>
    <w:rsid w:val="6FA6527C"/>
    <w:rsid w:val="6FD13515"/>
    <w:rsid w:val="70442246"/>
    <w:rsid w:val="705362D1"/>
    <w:rsid w:val="70851B9E"/>
    <w:rsid w:val="70A87AEA"/>
    <w:rsid w:val="70E54FFB"/>
    <w:rsid w:val="71061F2D"/>
    <w:rsid w:val="7312057D"/>
    <w:rsid w:val="736208D1"/>
    <w:rsid w:val="739C1604"/>
    <w:rsid w:val="73CC105E"/>
    <w:rsid w:val="73D20282"/>
    <w:rsid w:val="74393383"/>
    <w:rsid w:val="749C3FD2"/>
    <w:rsid w:val="74AD5BD7"/>
    <w:rsid w:val="74EC2B5E"/>
    <w:rsid w:val="75894BA1"/>
    <w:rsid w:val="75CB6447"/>
    <w:rsid w:val="76D81637"/>
    <w:rsid w:val="772C0EEC"/>
    <w:rsid w:val="772C5617"/>
    <w:rsid w:val="775E4E2E"/>
    <w:rsid w:val="77E60C73"/>
    <w:rsid w:val="78920CFC"/>
    <w:rsid w:val="79005FB8"/>
    <w:rsid w:val="7AD75E14"/>
    <w:rsid w:val="7B16219B"/>
    <w:rsid w:val="7B396582"/>
    <w:rsid w:val="7C14283B"/>
    <w:rsid w:val="7D56087C"/>
    <w:rsid w:val="7DA03CBE"/>
    <w:rsid w:val="7E0F615F"/>
    <w:rsid w:val="7E6810A0"/>
    <w:rsid w:val="7EA03381"/>
    <w:rsid w:val="7EB042EB"/>
    <w:rsid w:val="7EB66D2D"/>
    <w:rsid w:val="7EE34DC4"/>
    <w:rsid w:val="7F140C67"/>
    <w:rsid w:val="7F902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000000"/>
      <w:sz w:val="24"/>
      <w:szCs w:val="24"/>
      <w:u w:val="none"/>
      <w:vertAlign w:val="baseline"/>
    </w:rPr>
  </w:style>
  <w:style w:type="character" w:styleId="ac">
    <w:name w:val="Emphasis"/>
    <w:basedOn w:val="a0"/>
    <w:uiPriority w:val="20"/>
    <w:qFormat/>
    <w:rPr>
      <w:i/>
    </w:rPr>
  </w:style>
  <w:style w:type="character" w:styleId="HTML">
    <w:name w:val="HTML Acronym"/>
    <w:basedOn w:val="a0"/>
    <w:uiPriority w:val="99"/>
    <w:semiHidden/>
    <w:unhideWhenUsed/>
    <w:qFormat/>
    <w:rPr>
      <w:sz w:val="24"/>
      <w:szCs w:val="24"/>
      <w:vertAlign w:val="baseline"/>
    </w:rPr>
  </w:style>
  <w:style w:type="character" w:styleId="ad">
    <w:name w:val="Hyperlink"/>
    <w:basedOn w:val="a0"/>
    <w:uiPriority w:val="99"/>
    <w:semiHidden/>
    <w:unhideWhenUsed/>
    <w:qFormat/>
    <w:rPr>
      <w:color w:val="000000"/>
      <w:sz w:val="24"/>
      <w:szCs w:val="24"/>
      <w:u w:val="none"/>
      <w:vertAlign w:val="baseline"/>
    </w:rPr>
  </w:style>
  <w:style w:type="character" w:styleId="HTML0">
    <w:name w:val="HTML Code"/>
    <w:basedOn w:val="a0"/>
    <w:uiPriority w:val="99"/>
    <w:semiHidden/>
    <w:unhideWhenUsed/>
    <w:qFormat/>
    <w:rPr>
      <w:rFonts w:ascii="Courier New" w:hAnsi="Courier New"/>
      <w:sz w:val="24"/>
      <w:szCs w:val="24"/>
      <w:vertAlign w:val="baseline"/>
    </w:rPr>
  </w:style>
  <w:style w:type="character" w:styleId="ae">
    <w:name w:val="annotation reference"/>
    <w:basedOn w:val="a0"/>
    <w:uiPriority w:val="99"/>
    <w:semiHidden/>
    <w:unhideWhenUsed/>
    <w:qFormat/>
    <w:rPr>
      <w:sz w:val="21"/>
      <w:szCs w:val="21"/>
    </w:rPr>
  </w:style>
  <w:style w:type="character" w:styleId="HTML1">
    <w:name w:val="HTML Cite"/>
    <w:basedOn w:val="a0"/>
    <w:uiPriority w:val="99"/>
    <w:semiHidden/>
    <w:unhideWhenUsed/>
    <w:qFormat/>
    <w:rPr>
      <w:i/>
      <w:sz w:val="24"/>
      <w:szCs w:val="24"/>
      <w:vertAlign w:val="baseline"/>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000000"/>
      <w:sz w:val="24"/>
      <w:szCs w:val="24"/>
      <w:u w:val="none"/>
      <w:vertAlign w:val="baseline"/>
    </w:rPr>
  </w:style>
  <w:style w:type="character" w:styleId="ac">
    <w:name w:val="Emphasis"/>
    <w:basedOn w:val="a0"/>
    <w:uiPriority w:val="20"/>
    <w:qFormat/>
    <w:rPr>
      <w:i/>
    </w:rPr>
  </w:style>
  <w:style w:type="character" w:styleId="HTML">
    <w:name w:val="HTML Acronym"/>
    <w:basedOn w:val="a0"/>
    <w:uiPriority w:val="99"/>
    <w:semiHidden/>
    <w:unhideWhenUsed/>
    <w:qFormat/>
    <w:rPr>
      <w:sz w:val="24"/>
      <w:szCs w:val="24"/>
      <w:vertAlign w:val="baseline"/>
    </w:rPr>
  </w:style>
  <w:style w:type="character" w:styleId="ad">
    <w:name w:val="Hyperlink"/>
    <w:basedOn w:val="a0"/>
    <w:uiPriority w:val="99"/>
    <w:semiHidden/>
    <w:unhideWhenUsed/>
    <w:qFormat/>
    <w:rPr>
      <w:color w:val="000000"/>
      <w:sz w:val="24"/>
      <w:szCs w:val="24"/>
      <w:u w:val="none"/>
      <w:vertAlign w:val="baseline"/>
    </w:rPr>
  </w:style>
  <w:style w:type="character" w:styleId="HTML0">
    <w:name w:val="HTML Code"/>
    <w:basedOn w:val="a0"/>
    <w:uiPriority w:val="99"/>
    <w:semiHidden/>
    <w:unhideWhenUsed/>
    <w:qFormat/>
    <w:rPr>
      <w:rFonts w:ascii="Courier New" w:hAnsi="Courier New"/>
      <w:sz w:val="24"/>
      <w:szCs w:val="24"/>
      <w:vertAlign w:val="baseline"/>
    </w:rPr>
  </w:style>
  <w:style w:type="character" w:styleId="ae">
    <w:name w:val="annotation reference"/>
    <w:basedOn w:val="a0"/>
    <w:uiPriority w:val="99"/>
    <w:semiHidden/>
    <w:unhideWhenUsed/>
    <w:qFormat/>
    <w:rPr>
      <w:sz w:val="21"/>
      <w:szCs w:val="21"/>
    </w:rPr>
  </w:style>
  <w:style w:type="character" w:styleId="HTML1">
    <w:name w:val="HTML Cite"/>
    <w:basedOn w:val="a0"/>
    <w:uiPriority w:val="99"/>
    <w:semiHidden/>
    <w:unhideWhenUsed/>
    <w:qFormat/>
    <w:rPr>
      <w:i/>
      <w:sz w:val="24"/>
      <w:szCs w:val="24"/>
      <w:vertAlign w:val="baseline"/>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o.com/link?m=bNdiUl6ELqYn7qCSFwPYDmKajU64g4mt2oGsqyIX5BFD29w5Tj9kOTQz9ySWPjnHETNb+ZUgaUbaFKW3R/ILsyxYe5E7fS/8kiB3ZZfdvl9CrR/oQXt0f2Zw1j4+LzSTSGqQtJp89i75Z+zAGrbS60QrXsOFuzpzP0vldRanXSkWK18urMFrQMUosFpKwaxBsymi8Zpg1MpyJH3ofTWVLtdDv8y+MhvUwn82dtc+EMJNFxOOyt+8Uy+g4GvHtzt8vxjXLANi2P50RQDgw/Z3Fq8zeiWaS12VMMiDS18NqM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com/link?m=bLm1LP30qlGIy94uPdS+hOPAlIoymNCPqR0nreGZbMY4MWVMb8/hZmiUrPvqp0bd1zgEMg5p7qm0Czc/F7ebboCv9el/BgdIDFFa68mohpCsVnqONvdrPjmi0k0KYL7e+jRCxwKioJNsNOTiXzAJwmzvu5BhzMjc5crItYTbYhY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idu.com/link?url=fVT7r0YCzSirIBJ-mFGMPjmVhV9CZvcOKKBR9cKvvzYPCHDCDuyZdz8RSOCfMb5u5ofN9HrcZmovqGT-iQLqe_LdmFsbq-jYbFKm3kIqfum" TargetMode="External"/><Relationship Id="rId4" Type="http://schemas.microsoft.com/office/2007/relationships/stylesWithEffects" Target="stylesWithEffects.xml"/><Relationship Id="rId9" Type="http://schemas.openxmlformats.org/officeDocument/2006/relationships/hyperlink" Target="https://www.so.com/link?m=bCEo1eacyCzylDHhQZXa6Fu742UgY+Q6sk1JdFhs8j4wx93xkvlhh4JIc2Rs6xdApRrfTNnKPsFrxj1KmWFsRNuqr7Cim1OnoOM51gpY0Gvuo8h+5aDzmEb8pmMohnYe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105A-5B43-49D4-AF89-99AD688C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2205</Words>
  <Characters>12575</Characters>
  <Application>Microsoft Office Word</Application>
  <DocSecurity>0</DocSecurity>
  <Lines>104</Lines>
  <Paragraphs>29</Paragraphs>
  <ScaleCrop>false</ScaleCrop>
  <Company>微软中国</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于海涛</dc:creator>
  <cp:lastModifiedBy>PC</cp:lastModifiedBy>
  <cp:revision>4</cp:revision>
  <cp:lastPrinted>2022-11-17T03:29:00Z</cp:lastPrinted>
  <dcterms:created xsi:type="dcterms:W3CDTF">2021-07-13T03:24:00Z</dcterms:created>
  <dcterms:modified xsi:type="dcterms:W3CDTF">2022-11-30T08:59:00Z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DD16E763EE434328B455D79F5DB1B458</vt:lpwstr>
  </property>
</Properties>
</file>