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</w:p>
    <w:p>
      <w:pPr>
        <w:spacing w:line="240" w:lineRule="exact"/>
        <w:rPr>
          <w:rFonts w:asciiTheme="minorEastAsia" w:hAnsiTheme="minorEastAsia" w:eastAsiaTheme="minorEastAsia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spacing w:line="840" w:lineRule="exact"/>
        <w:rPr>
          <w:szCs w:val="32"/>
        </w:rPr>
      </w:pPr>
      <w:r>
        <w:rPr>
          <w:szCs w:val="32"/>
        </w:rPr>
        <w:pict>
          <v:shape id="WJBT" o:spid="_x0000_s1036" o:spt="202" type="#_x0000_t202" style="position:absolute;left:0pt;margin-top:202.65pt;height:104.85pt;width:413.85pt;mso-position-horizontal:center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1240" w:lineRule="exact"/>
                    <w:jc w:val="distribute"/>
                    <w:rPr>
                      <w:rFonts w:ascii="方正小标宋简体" w:eastAsia="方正小标宋简体"/>
                      <w:color w:val="FF0000"/>
                      <w:w w:val="55"/>
                      <w:sz w:val="114"/>
                      <w:szCs w:val="114"/>
                    </w:rPr>
                  </w:pPr>
                  <w:r>
                    <w:rPr>
                      <w:rFonts w:hint="eastAsia" w:ascii="方正小标宋简体" w:hAnsi="Times New Roman" w:eastAsia="方正小标宋简体"/>
                      <w:color w:val="FF0000"/>
                      <w:w w:val="55"/>
                      <w:sz w:val="114"/>
                      <w:szCs w:val="114"/>
                    </w:rPr>
                    <w:t>江门市新会区农业农村局文件</w:t>
                  </w:r>
                </w:p>
              </w:txbxContent>
            </v:textbox>
          </v:shape>
        </w:pict>
      </w:r>
    </w:p>
    <w:p>
      <w:pPr>
        <w:tabs>
          <w:tab w:val="left" w:pos="2212"/>
        </w:tabs>
        <w:rPr>
          <w:szCs w:val="32"/>
        </w:rPr>
      </w:pPr>
    </w:p>
    <w:p>
      <w:pPr>
        <w:spacing w:line="360" w:lineRule="exact"/>
        <w:ind w:right="320" w:rightChars="100"/>
        <w:rPr>
          <w:szCs w:val="32"/>
        </w:rPr>
      </w:pPr>
    </w:p>
    <w:p>
      <w:pPr>
        <w:ind w:right="320" w:rightChars="100"/>
        <w:rPr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新农农〔202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〕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szCs w:val="32"/>
        </w:rPr>
        <w:t>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Cs w:val="32"/>
        </w:rPr>
        <w:pict>
          <v:shape id="GWXH" o:spid="_x0000_s1035" o:spt="202" type="#_x0000_t202" style="position:absolute;left:0pt;margin-left:-0.05pt;margin-top:104.9pt;height:22.7pt;width:63pt;mso-position-vertic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rFonts w:ascii="黑体" w:hAnsi="黑体" w:eastAsia="黑体"/>
                      <w:szCs w:val="32"/>
                    </w:rPr>
                  </w:pPr>
                </w:p>
              </w:txbxContent>
            </v:textbox>
            <w10:anchorlock/>
          </v:shape>
        </w:pict>
      </w:r>
      <w:r>
        <w:rPr>
          <w:szCs w:val="32"/>
        </w:rPr>
        <w:pict>
          <v:line id="BTBX" o:spid="_x0000_s1034" o:spt="20" style="position:absolute;left:0pt;margin-left:-0.05pt;margin-top:342.45pt;height:0pt;width:442.2pt;mso-position-vertical-relative:page;z-index:251659264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  <w10:anchorlock/>
          </v:line>
        </w:pic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新会区2022年双季稻轮作</w:t>
      </w:r>
    </w:p>
    <w:bookmarkEnd w:id="0"/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试点方案》的通知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银湖湾滨海新区管委会，各镇（街）农业农村办公室：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为了更好地加快推进我区2022年双季稻轮作试点工作，结合实际，我局制定了《新会区2022年双季稻轮作试点方案》，现印发给你们，请贯彻执行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并请各镇（街）农办整理好申报资料（包括《方案》中附件1、附件2、附件3，村、镇两级公示图片），于9月30日前报送至区农业农村局种植业管理股。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江门市新会区农业农村局</w:t>
      </w:r>
    </w:p>
    <w:p>
      <w:pPr>
        <w:spacing w:line="520" w:lineRule="exact"/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2022年8月2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（联系人：梁湘怡，联系电话：6662996）</w:t>
      </w:r>
    </w:p>
    <w:p/>
    <w:p>
      <w:pPr>
        <w:pStyle w:val="4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spacing w:line="56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公开方式：</w:t>
      </w:r>
      <w:r>
        <w:rPr>
          <w:rFonts w:hint="eastAsia" w:ascii="仿宋_GB2312" w:hAnsi="仿宋_GB2312" w:eastAsia="仿宋_GB2312" w:cs="仿宋_GB2312"/>
          <w:b w:val="0"/>
          <w:bCs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Cs w:val="32"/>
        </w:rPr>
        <w:t>公开</w:t>
      </w:r>
    </w:p>
    <w:p>
      <w:pPr>
        <w:pBdr>
          <w:bottom w:val="single" w:color="auto" w:sz="4" w:space="0"/>
        </w:pBdr>
        <w:spacing w:line="56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60" w:firstLineChars="50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江门市农业农村局，新会区财政局。</w:t>
      </w: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ind w:firstLine="160" w:firstLineChars="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江门市新会区农业农村局办公室    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Cs w:val="32"/>
        </w:rPr>
        <w:t>日印发</w:t>
      </w:r>
    </w:p>
    <w:p/>
    <w:p>
      <w:pPr>
        <w:bidi w:val="0"/>
        <w:jc w:val="center"/>
        <w:rPr>
          <w:lang w:val="en-US" w:eastAsia="zh-CN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新会区2022年双季稻轮作试点方案</w:t>
      </w:r>
    </w:p>
    <w:p>
      <w:pPr>
        <w:pStyle w:val="2"/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根据《关于印发《广东省2022年轮作试点实施方案》的通知》（粤农农办〔2022〕112号）和市农业农村局《关于提前下达2022年中央财政农业资源及生态保护补助资金的通知》（江财农〔2021〕114号）等文件要求，借鉴我区近年开展“双季稻+冬种油菜或白菜、菜心、迟菜心”成功经验，结合实际，为做好我区2022年度双季稻轮作试点工作，</w:t>
      </w:r>
      <w:r>
        <w:rPr>
          <w:rFonts w:hint="eastAsia" w:ascii="仿宋_GB2312" w:hAnsi="仿宋_GB2312" w:eastAsia="仿宋_GB2312" w:cs="仿宋_GB2312"/>
          <w:szCs w:val="32"/>
        </w:rPr>
        <w:t>综合镇（街）和有关部门意见，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制定本方案。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一、指导思想</w:t>
      </w:r>
    </w:p>
    <w:p>
      <w:pPr>
        <w:widowControl/>
        <w:spacing w:line="560" w:lineRule="exact"/>
        <w:ind w:firstLine="640" w:firstLineChars="200"/>
        <w:rPr>
          <w:rStyle w:val="25"/>
          <w:rFonts w:hint="eastAsia" w:ascii="仿宋_GB2312" w:hAnsi="仿宋_GB2312" w:eastAsia="仿宋_GB2312" w:cs="仿宋_GB2312"/>
        </w:rPr>
      </w:pPr>
      <w:r>
        <w:rPr>
          <w:rStyle w:val="25"/>
          <w:rFonts w:hint="eastAsia" w:ascii="仿宋_GB2312" w:hAnsi="仿宋_GB2312" w:eastAsia="仿宋_GB2312" w:cs="仿宋_GB2312"/>
        </w:rPr>
        <w:t>为贯彻落实中央农村工作会议和2022年中央一号文件精神，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牢固树立新发展理念，深入实施“藏粮于地、藏粮于技”战略，加大政策扶持，瞄准关键薄弱环节，深入实施双季稻轮作试点，持续加力、常抓不懈，探索形成可复制、可推广的耕地轮作组织方式、技术模式和政策框架，加快构建符合我区实际的绿色种植制度，</w:t>
      </w:r>
      <w:r>
        <w:rPr>
          <w:rStyle w:val="25"/>
          <w:rFonts w:hint="eastAsia" w:ascii="仿宋_GB2312" w:hAnsi="仿宋_GB2312" w:eastAsia="仿宋_GB2312" w:cs="仿宋_GB2312"/>
        </w:rPr>
        <w:t>促进绿色种植和农业生态综合治理，推动双季稻和冬种蔬菜等生产高质量发展，保障种植农产品稳产保供。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二、基本原则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（一）巩固提升粮食产能。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坚守耕地保护红线，提升耕地质量，防止耕地“非粮化”。按照“宜粮则粮、应种尽种”的原则进行作物品种内部轮作，开展双季稻轮作试点。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（二）集中连片推进。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坚持集中连片推进双季稻轮作试点，鼓励试点区域农户、新型经营主体（含种粮大户、家庭农场、农民合作社等）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eastAsia="zh-CN"/>
        </w:rPr>
        <w:t>和其他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农业企业等（下称农民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共同参与双季稻轮作试点，带动试点区域内轮作面积的落实。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（三）尊重农民意愿。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坚持以农民为主体，充分尊重农民意愿。通过社会化服务，引导农民自愿参与双季稻轮作试点，发挥其主观能动性。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（四）资源整合推进。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优先与</w:t>
      </w:r>
      <w:r>
        <w:rPr>
          <w:rFonts w:hint="eastAsia" w:ascii="仿宋_GB2312" w:hAnsi="仿宋_GB2312" w:eastAsia="仿宋_GB2312" w:cs="仿宋_GB2312"/>
        </w:rPr>
        <w:t>撂荒耕地复耕种水稻</w:t>
      </w:r>
      <w:r>
        <w:rPr>
          <w:rFonts w:hint="eastAsia" w:ascii="仿宋_GB2312" w:hAnsi="仿宋_GB2312" w:eastAsia="仿宋_GB2312" w:cs="仿宋_GB2312"/>
          <w:lang w:eastAsia="zh-CN"/>
        </w:rPr>
        <w:t>及其他</w:t>
      </w:r>
      <w:r>
        <w:rPr>
          <w:rFonts w:hint="eastAsia" w:ascii="仿宋_GB2312" w:hAnsi="仿宋_GB2312" w:eastAsia="仿宋_GB2312" w:cs="仿宋_GB2312"/>
        </w:rPr>
        <w:t>挖潜水稻新增等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相关项目对接，合力推进双季稻轮作试点。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三、实施内容和期限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（一）实施内容。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2022年全区双季稻轮作试点面积1.12万亩。探索建立适合我区的耕地轮作制度，集成“双季稻+冬种油菜或白菜、菜心、迟菜心”的水旱轮作、用地养地相结合生态种植技术模式，保障农产品稳定供给，不断提升土壤肥力和耕地质量等级，调优耕作制度，改善生态环境，农民收入不降低，确保农业可持续发展能力进一步增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（二）实施期限。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2022年晚稻开始，至冬种收获轮作周期结束。</w:t>
      </w:r>
      <w:r>
        <w:rPr>
          <w:rFonts w:hint="eastAsia" w:ascii="仿宋_GB2312" w:hAnsi="仿宋_GB2312" w:eastAsia="仿宋_GB2312" w:cs="仿宋_GB2312"/>
          <w:szCs w:val="32"/>
        </w:rPr>
        <w:t>（2022年9月至2023年3月）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四、试点区域和技术路线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（一）试点区域。</w:t>
      </w:r>
      <w:r>
        <w:rPr>
          <w:rFonts w:hint="eastAsia" w:ascii="仿宋_GB2312" w:hAnsi="仿宋_GB2312" w:eastAsia="仿宋_GB2312" w:cs="仿宋_GB2312"/>
          <w:kern w:val="0"/>
          <w:szCs w:val="32"/>
        </w:rPr>
        <w:t>按本《方案》的技术路线要求，各镇（街）组织辖区村委会（下称试点村）发动有关农民积极参与，镇（街）农业农村办公室（下称农办）做好《2022年新会区双季稻轮作试点登记清册》登记工作（详见附件1）；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各镇（街）农办在本辖区内遴选有一定基础和工作积极性较高、适合冬种油菜或白菜、菜心、迟菜心、排灌方便的试点村和</w:t>
      </w:r>
      <w:r>
        <w:rPr>
          <w:rFonts w:hint="eastAsia" w:ascii="仿宋_GB2312" w:hAnsi="仿宋_GB2312" w:eastAsia="仿宋_GB2312" w:cs="仿宋_GB2312"/>
          <w:kern w:val="0"/>
          <w:szCs w:val="32"/>
        </w:rPr>
        <w:t>农民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，经镇、村二级公示（7个工作日）无异议后，于</w:t>
      </w:r>
      <w:r>
        <w:rPr>
          <w:rFonts w:hint="eastAsia" w:ascii="仿宋_GB2312" w:hAnsi="仿宋_GB2312" w:eastAsia="仿宋_GB2312" w:cs="仿宋_GB2312"/>
          <w:kern w:val="0"/>
          <w:szCs w:val="32"/>
        </w:rPr>
        <w:t>2022年9月30日前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向区农业农村局推荐（含附件1、2以及公示照片）；区农业农村局依据各镇（街）农办的报送情况，按镇（街）试点面积由大到小优先确定全区的试点镇（街）、村（下称试点区域），并在新会区政府信息公开平台公开公示确定结果（7个工作日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（二）技术路线。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采用“双季稻+冬种油菜或白菜、菜心、迟菜心”的水旱轮作、用地养地相结合生态种植技术模式。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每个试点区域连片实施面积不小于（含）40亩。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试点区域内必须种植双季稻和冬种油菜或白菜、菜心、迟菜心。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试点区域实施秸秆还田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eastAsia="zh-CN"/>
        </w:rPr>
        <w:t>及其他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综合利用。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建立试点区域台账，登记试点区域面积、区域位置、涉及农民信息、种植作物信息、每一季作物种植和长势影像图片资料、补助信息等。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五、实施主体和方式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（一）实施主体。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试点区域镇（街）农办为实施主体。</w:t>
      </w:r>
    </w:p>
    <w:p>
      <w:pPr>
        <w:widowControl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（二）实施方式。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开展社会化服务。由区农业农村局按政府采购管理规定，确定一个中标供应商开展物化补助生物有机肥、</w:t>
      </w:r>
      <w:r>
        <w:rPr>
          <w:rFonts w:hint="eastAsia" w:ascii="仿宋_GB2312" w:hAnsi="仿宋_GB2312" w:eastAsia="仿宋_GB2312" w:cs="仿宋_GB2312"/>
        </w:rPr>
        <w:t>有机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物料腐熟剂以及轮作冬种的油菜、或白菜、菜心、迟菜心种子、建立试点台账、技术指导、宣传培训、标竖示范标牌、效益评估、满意度调查、相片、总结、审计和验收材料等社会化服务。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Cs w:val="32"/>
        </w:rPr>
        <w:t>镇（街）农办组织试点村和农民积极实施。早、晚稻由农民种植收获；在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冬种油菜或白菜、菜心</w:t>
      </w:r>
      <w:r>
        <w:rPr>
          <w:rFonts w:hint="eastAsia" w:ascii="仿宋_GB2312" w:hAnsi="仿宋_GB2312" w:eastAsia="仿宋_GB2312" w:cs="仿宋_GB2312"/>
        </w:rPr>
        <w:t>、迟菜心</w:t>
      </w:r>
      <w:r>
        <w:rPr>
          <w:rFonts w:hint="eastAsia" w:ascii="仿宋_GB2312" w:hAnsi="仿宋_GB2312" w:eastAsia="仿宋_GB2312" w:cs="仿宋_GB2312"/>
          <w:kern w:val="0"/>
          <w:szCs w:val="32"/>
        </w:rPr>
        <w:t>过程中，镇（街）农办要组织各试点村和农民按技术指导要求，积极做好开沟</w:t>
      </w:r>
      <w:r>
        <w:rPr>
          <w:rFonts w:hint="eastAsia" w:ascii="仿宋_GB2312" w:hAnsi="仿宋_GB2312" w:eastAsia="仿宋_GB2312" w:cs="仿宋_GB2312"/>
        </w:rPr>
        <w:t>、播种、</w:t>
      </w:r>
      <w:r>
        <w:rPr>
          <w:rFonts w:hint="eastAsia" w:ascii="仿宋_GB2312" w:hAnsi="仿宋_GB2312" w:eastAsia="仿宋_GB2312" w:cs="仿宋_GB2312"/>
          <w:kern w:val="0"/>
          <w:szCs w:val="32"/>
        </w:rPr>
        <w:t>管水、追肥、病虫害防控和采收等工作。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六、补助方式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（一）资金规模。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市下达我区2022 年</w:t>
      </w:r>
      <w:r>
        <w:rPr>
          <w:rFonts w:hint="eastAsia" w:ascii="仿宋_GB2312" w:hAnsi="仿宋_GB2312" w:eastAsia="仿宋_GB2312" w:cs="仿宋_GB2312"/>
          <w:szCs w:val="32"/>
        </w:rPr>
        <w:t>中央财政农业资源及生态保护补助资金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167.655万元（约束性任务）。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（二）补助方式。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按本项目的《社会化服务合同》条款和进度，由区农业农村局报请区财政局将补助资金补助给中标供应商。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</w:rPr>
        <w:t>七、工作要求和保障措施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实行区抓落实的工作机制。成立由区政府分管领导任组长，区农业农村局、区财政局为成员的推进落实领导小组，全面落实试点任务和要求，保障试点工作有序开展、取得实效。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（二）细化实化任务。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层层落实责任，试点区域镇（街）农办</w:t>
      </w:r>
      <w:r>
        <w:rPr>
          <w:rFonts w:hint="eastAsia" w:ascii="仿宋_GB2312" w:hAnsi="仿宋_GB2312" w:eastAsia="仿宋_GB2312" w:cs="仿宋_GB2312"/>
          <w:kern w:val="0"/>
          <w:szCs w:val="32"/>
        </w:rPr>
        <w:t>与示范村（含农民）签订双季稻轮作试点协议（详见附件2），明确相关权利、责任和义务，保障试点工作规范有序开展。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（三）加强指导督查。</w:t>
      </w:r>
      <w:r>
        <w:rPr>
          <w:rFonts w:hint="eastAsia" w:ascii="仿宋_GB2312" w:hAnsi="仿宋_GB2312" w:eastAsia="仿宋_GB2312" w:cs="仿宋_GB2312"/>
          <w:kern w:val="0"/>
          <w:szCs w:val="32"/>
        </w:rPr>
        <w:t>区农业农村局、试点区域农办和中标供应商强化技术指导服务；区农业农村局和区财政局联合加强督导检查。试点区域的镇（街）要做好示范村、农民配合中标供应商的协调工作。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（四）搞好总结宣传。</w:t>
      </w:r>
      <w:r>
        <w:rPr>
          <w:rFonts w:hint="eastAsia" w:ascii="仿宋_GB2312" w:hAnsi="仿宋_GB2312" w:eastAsia="仿宋_GB2312" w:cs="仿宋_GB2312"/>
          <w:kern w:val="0"/>
          <w:szCs w:val="32"/>
        </w:rPr>
        <w:t>充分利用广播、电视、网络等媒体，宣传双季稻轮作的重要意义和有关要求，引导社会各界关注支持双季稻轮作试点工作。通过现场观摩、经验交流、典型示范等方式，宣传有关成效，营造良好舆论氛围。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36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（五）报送情况。</w:t>
      </w:r>
      <w:r>
        <w:rPr>
          <w:rFonts w:hint="eastAsia" w:ascii="仿宋_GB2312" w:hAnsi="仿宋_GB2312" w:eastAsia="仿宋_GB2312" w:cs="仿宋_GB2312"/>
          <w:kern w:val="36"/>
          <w:szCs w:val="32"/>
        </w:rPr>
        <w:t>认真总结项目实施情况，由区农业农村局按时向省厅报送行动进度和总结。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Cs w:val="32"/>
        </w:rPr>
        <w:t>（六）做好验收。</w:t>
      </w:r>
      <w:r>
        <w:rPr>
          <w:rFonts w:hint="eastAsia" w:ascii="仿宋_GB2312" w:hAnsi="仿宋_GB2312" w:eastAsia="仿宋_GB2312" w:cs="仿宋_GB2312"/>
          <w:kern w:val="0"/>
          <w:szCs w:val="32"/>
        </w:rPr>
        <w:t>中标供应商于2023年3月底前完成项目，并向区农业农村局提出区级验收申请，区农业农村局组织种植和会计专业类，具中级（含）以上专业技术职称资格的3名专家进行区级验收。</w:t>
      </w:r>
    </w:p>
    <w:p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附件：1.2022年新会区双季稻轮作试点登记清册</w:t>
      </w:r>
    </w:p>
    <w:p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     2.2022年新会区双季稻轮作试点村遴选推荐表</w:t>
      </w:r>
    </w:p>
    <w:p>
      <w:pPr>
        <w:widowControl/>
        <w:spacing w:line="560" w:lineRule="exact"/>
        <w:ind w:firstLine="1600" w:firstLineChars="5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3.新会区双季稻轮作试点协议（参考样本）</w:t>
      </w:r>
    </w:p>
    <w:p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     4.2022年新会区双季稻轮作试点社会化服务表</w:t>
      </w:r>
    </w:p>
    <w:p>
      <w:pPr>
        <w:widowControl/>
        <w:spacing w:line="560" w:lineRule="exact"/>
        <w:ind w:firstLine="1600" w:firstLineChars="500"/>
        <w:rPr>
          <w:rFonts w:hint="eastAsia" w:ascii="仿宋_GB2312" w:hAnsi="仿宋_GB2312" w:eastAsia="仿宋_GB2312" w:cs="仿宋_GB2312"/>
          <w:kern w:val="0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701" w:right="1587" w:bottom="1417" w:left="1587" w:header="851" w:footer="992" w:gutter="0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spacing w:line="590" w:lineRule="exact"/>
        <w:rPr>
          <w:rFonts w:ascii="仿宋" w:hAnsi="仿宋" w:cs="方正小标宋简体"/>
          <w:szCs w:val="32"/>
        </w:rPr>
      </w:pPr>
      <w:r>
        <w:rPr>
          <w:rFonts w:hint="eastAsia" w:ascii="仿宋" w:hAnsi="仿宋" w:cs="仿宋"/>
          <w:szCs w:val="32"/>
        </w:rPr>
        <w:t xml:space="preserve">附件1 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2022年新会区双季稻轮作试点登记清册</w:t>
      </w:r>
    </w:p>
    <w:p>
      <w:pPr>
        <w:widowControl/>
        <w:ind w:firstLine="640" w:firstLineChars="200"/>
        <w:jc w:val="left"/>
        <w:rPr>
          <w:rFonts w:ascii="仿宋" w:hAnsi="仿宋" w:cs="宋体"/>
          <w:kern w:val="0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村别（公章）：</w:t>
      </w:r>
    </w:p>
    <w:tbl>
      <w:tblPr>
        <w:tblStyle w:val="1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46"/>
        <w:gridCol w:w="1559"/>
        <w:gridCol w:w="1276"/>
        <w:gridCol w:w="1418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试点区域（土名）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参与农民姓名或名称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冬种品种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参与试点面积（亩）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是否同意由村委会签订协议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农民签字指模确认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1346" w:type="dxa"/>
            <w:shd w:val="clear" w:color="auto" w:fill="auto"/>
            <w:noWrap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全村合计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8292" w:type="dxa"/>
            <w:gridSpan w:val="6"/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村委会申报意见：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备注：冬种品种为油菜、白菜、菜心或迟菜心</w:t>
      </w:r>
    </w:p>
    <w:p>
      <w:pPr>
        <w:widowControl/>
        <w:ind w:firstLine="156" w:firstLineChars="49"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村经办人签字：               村主任签字：</w:t>
      </w:r>
    </w:p>
    <w:p>
      <w:pPr>
        <w:widowControl/>
        <w:ind w:firstLine="4800" w:firstLineChars="1500"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widowControl/>
        <w:ind w:firstLine="4800" w:firstLineChars="1500"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widowControl/>
        <w:ind w:firstLine="3200" w:firstLineChars="1000"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申报日期：2022年   月   日</w:t>
      </w:r>
    </w:p>
    <w:p>
      <w:pPr>
        <w:adjustRightInd w:val="0"/>
        <w:snapToGrid w:val="0"/>
        <w:spacing w:line="590" w:lineRule="exact"/>
        <w:jc w:val="center"/>
        <w:rPr>
          <w:rFonts w:ascii="仿宋" w:hAnsi="仿宋" w:cs="宋体"/>
          <w:b/>
          <w:kern w:val="0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435" w:charSpace="0"/>
        </w:sectPr>
      </w:pP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附件2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  <w:t>022年新会区双季稻轮作试点村遴选推荐表</w:t>
      </w:r>
    </w:p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</w:rPr>
        <w:t>推荐单位（公章）：镇（街）农业农村办公室</w:t>
      </w:r>
    </w:p>
    <w:tbl>
      <w:tblPr>
        <w:tblStyle w:val="13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74"/>
        <w:gridCol w:w="1560"/>
        <w:gridCol w:w="2126"/>
        <w:gridCol w:w="1984"/>
        <w:gridCol w:w="340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试点村名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试点区域  （土名）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涉及参与农民 （户）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参与试点面积 （亩）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试点地块面积今年是否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属于双季水稻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同时提交相关佐证材料（盖公章原件和扫描件各一份）：①有关村的2022年新会区双季稻轮作试点登记申报清册；②遴选结果在镇、村二级的公示照片； ③区域位置图。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47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3034" w:type="dxa"/>
            <w:gridSpan w:val="2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全镇（街）合计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Merge w:val="continue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3665" w:type="dxa"/>
            <w:gridSpan w:val="6"/>
            <w:vAlign w:val="center"/>
          </w:tcPr>
          <w:p>
            <w:pPr>
              <w:adjustRightInd w:val="0"/>
              <w:snapToGrid w:val="0"/>
              <w:spacing w:line="59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  <w:t>镇（街）农办遴选推荐意见：</w:t>
            </w:r>
          </w:p>
        </w:tc>
      </w:tr>
    </w:tbl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</w:rPr>
        <w:t>农办经办人签字：              农办主任签字：               分管领导签字：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color w:val="000000" w:themeColor="text1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</w:rPr>
        <w:t>推荐日期： 2022年  月  日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  <w:sectPr>
          <w:footerReference r:id="rId6" w:type="default"/>
          <w:footerReference r:id="rId7" w:type="even"/>
          <w:pgSz w:w="16838" w:h="11906" w:orient="landscape"/>
          <w:pgMar w:top="1587" w:right="1701" w:bottom="1587" w:left="1418" w:header="851" w:footer="459" w:gutter="0"/>
          <w:cols w:space="0" w:num="1"/>
          <w:docGrid w:linePitch="579" w:charSpace="0"/>
        </w:sect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</w:rPr>
        <w:t>附件3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2022年新会区双季稻轮作试点协议</w:t>
      </w:r>
    </w:p>
    <w:p>
      <w:pPr>
        <w:adjustRightInd w:val="0"/>
        <w:snapToGrid w:val="0"/>
        <w:spacing w:line="590" w:lineRule="exact"/>
        <w:jc w:val="center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（参考样本）</w:t>
      </w:r>
    </w:p>
    <w:p>
      <w:pPr>
        <w:adjustRightInd w:val="0"/>
        <w:snapToGrid w:val="0"/>
        <w:spacing w:line="590" w:lineRule="exact"/>
        <w:jc w:val="center"/>
        <w:rPr>
          <w:rFonts w:ascii="仿宋" w:hAnsi="仿宋" w:cs="仿宋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甲方：镇（街）农业农村办公室</w:t>
      </w: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乙方：村民委员会（含参与农民）   </w:t>
      </w: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为切实实施好2022年双季稻轮作试点工作，按《新会区2022年双季稻轮作试点方案》等要求，结合实际，经甲乙双方商议，协议如下：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一、轮作面积与地块。乙方自愿参加双季稻轮作，将位于等（土名）共亩双季稻田的地块进行双季稻+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冬种油菜或白菜、菜心、迟菜心</w:t>
      </w:r>
      <w:r>
        <w:rPr>
          <w:rFonts w:hint="eastAsia" w:ascii="仿宋_GB2312" w:hAnsi="仿宋_GB2312" w:eastAsia="仿宋_GB2312" w:cs="仿宋_GB2312"/>
          <w:sz w:val="32"/>
          <w:szCs w:val="32"/>
        </w:rPr>
        <w:t>轮作试点，参与农民户（详见2022年新会区双季稻轮作试点登记清册）。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二、轮作时间与期限。2022年晚稻开始，至冬种收获轮作周期结束。（2022年9月至2023年3月）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三、轮作技术要求。乙方愿意按甲方和中标供应商技术要求组织实施，接受服从甲方和中标供应商的监管、技术指导，接受甲方与上级部门的验收检查；同意在轮作试点区域种植双季稻以及轮作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冬种油菜或白菜、菜心、迟菜心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四、实施方式。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（一）乙方同意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自主种植早、晚稻和轮作冬种油菜或白菜、菜心、迟菜心。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冬种油菜或白菜、菜心、迟菜心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过程中，乙方同意由区农业农村局确定的中标供应商，按有关社会化服务事项指标，对乙方轮作试点区域地块开展物化补助等社会化服务。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五、技术指导。甲方和中标供应商负责对乙方提供轮作技术指导服务。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六、本协议自甲乙双方签字或盖章之日起生效。轮作期间因国家政策发生重大变化或调整导致不能执行本协议的，本协议自然终止或解除。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七、本协议一式六份，甲方、乙方各执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份，协议文本在本村委会、镇（街）、中标供应商和区农业农村局存档备查。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八、未尽事宜，甲乙双方协商解决。</w:t>
      </w: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甲方：（盖章）                 乙方：（盖章）</w:t>
      </w:r>
    </w:p>
    <w:p>
      <w:pPr>
        <w:adjustRightInd w:val="0"/>
        <w:snapToGrid w:val="0"/>
        <w:spacing w:line="560" w:lineRule="exact"/>
        <w:ind w:left="5054" w:hanging="5120" w:hanging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甲方主任签名：                乙方村主任签名：</w:t>
      </w: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               日期：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Cs w:val="32"/>
        </w:rPr>
      </w:pPr>
    </w:p>
    <w:p/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</w:rPr>
        <w:t xml:space="preserve">附件4  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2022年新会区双季稻轮作试点社会化服务表</w:t>
      </w:r>
    </w:p>
    <w:tbl>
      <w:tblPr>
        <w:tblStyle w:val="13"/>
        <w:tblW w:w="947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36"/>
        <w:gridCol w:w="3863"/>
        <w:gridCol w:w="3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社会化服务事项</w:t>
            </w:r>
          </w:p>
        </w:tc>
        <w:tc>
          <w:tcPr>
            <w:tcW w:w="746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技术指导</w:t>
            </w: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印发有关技术资料，开展技术指导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每户试点农民1份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宣传培训</w:t>
            </w: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在试点区域的镇（街）或村举办技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术培训班和现场观摩（交流）会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共3期以上（含），由具种植业类中级以上技术职称人员授课，每期培训人数不少于（含）30人。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6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建立试   点台账</w:t>
            </w: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建立资金投入和使用情况，工作推进情况，双季稻轮作试点协议、面积、区域位置，农民信息、种植作物信息和补助信息，作物种植、长势和实施过程的相关影像图片资料等台账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形成PDF和纸质等台账。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56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记录早、晚稻播种种植情况（含面积、产量和总产量）</w:t>
            </w:r>
          </w:p>
        </w:tc>
        <w:tc>
          <w:tcPr>
            <w:tcW w:w="360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相应选取不少于（含）3个双季稻轮作试点村，每村选3户参试地块各实割1亩以上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，测定亩产和总产。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56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记录冬种轮作情况（含面积、产量和总产量）</w:t>
            </w:r>
          </w:p>
        </w:tc>
        <w:tc>
          <w:tcPr>
            <w:tcW w:w="360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生物有机肥物化补助</w:t>
            </w:r>
          </w:p>
        </w:tc>
        <w:tc>
          <w:tcPr>
            <w:tcW w:w="746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全区1.12万亩，每亩补助生物有机肥不少于（含）70公斤；施用的肥料（活菌数≥0.20亿/g 有机质≥40.0%）适宜作物蔬菜，产品属部、省级登记或备案、且2021至2022年没有肥料监管部门抽查不合格情形。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有机物料腐熟剂物化补助</w:t>
            </w:r>
          </w:p>
        </w:tc>
        <w:tc>
          <w:tcPr>
            <w:tcW w:w="746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全区1.12万亩，每亩补助有机物料腐熟剂2kg；补助的有机物料腐熟剂（有效活菌数≥0.50亿/g）适宜农作物秸秆利用，产品属农业农村部部级登记。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冬种种子（油菜或白菜、菜心、迟菜心）物化补助</w:t>
            </w:r>
          </w:p>
        </w:tc>
        <w:tc>
          <w:tcPr>
            <w:tcW w:w="746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区1.12万亩，每亩补助冬种种子（油菜或白菜、菜心、迟菜心）种量0.75kg。种子要符合种子质量标准且含有包装，其中冬种油菜品种为近2年在珠三角（含新会）冬种效果较好，可作蔬菜食用、赏花和培肥的油菜花品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标竖示   范标牌</w:t>
            </w: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选取有代表性的二个双季稻轮作试点村标竖示范标牌。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共2个（每个规格：高1.2米，宽1.5米；蓝底白字， 材料为镀锌管、角铁和镀锌板等）。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效益评估</w:t>
            </w: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开展试点工作的经济、社会和生态效益等方面评估。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形成总结和项目效益书面报告。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6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满意度调查</w:t>
            </w: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轮作试点镇（街）、村和农民评价。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50份问卷平均满意分数≥90分。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6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总结审计 验收</w:t>
            </w: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材料整理。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提交实施项目的有关材料。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6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项目审计。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提交资质机构审计报告。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56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6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项目总结、验收。</w:t>
            </w:r>
          </w:p>
        </w:tc>
        <w:tc>
          <w:tcPr>
            <w:tcW w:w="3605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2023年3月底前完成总结，申请验收。</w:t>
            </w:r>
          </w:p>
        </w:tc>
      </w:tr>
    </w:tbl>
    <w:p>
      <w:pPr>
        <w:tabs>
          <w:tab w:val="left" w:pos="1598"/>
        </w:tabs>
        <w:bidi w:val="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sectPr>
      <w:headerReference r:id="rId9" w:type="first"/>
      <w:footerReference r:id="rId11" w:type="first"/>
      <w:headerReference r:id="rId8" w:type="default"/>
      <w:footerReference r:id="rId10" w:type="default"/>
      <w:pgSz w:w="11906" w:h="16838"/>
      <w:pgMar w:top="1701" w:right="1588" w:bottom="1418" w:left="1588" w:header="851" w:footer="567" w:gutter="0"/>
      <w:pgNumType w:fmt="decimal"/>
      <w:cols w:space="425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.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2050" o:spid="_x0000_s2050" o:spt="202" type="#_x0000_t202" style="position:absolute;left:0pt;margin-top:0pt;height:11pt;width:24.95pt;mso-position-horizontal:outside;mso-position-horizontal-relative:margin;mso-wrap-style:none;z-index:251663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8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仿宋" w:hAnsi="仿宋"/>
        <w:sz w:val="28"/>
        <w:szCs w:val="28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k0M2E4YWQ2NzA5ZTA4OTRjNGVjYmFlZWJmY2FlZmYifQ=="/>
  </w:docVars>
  <w:rsids>
    <w:rsidRoot w:val="000F1B41"/>
    <w:rsid w:val="0000454C"/>
    <w:rsid w:val="00015641"/>
    <w:rsid w:val="000169A0"/>
    <w:rsid w:val="00016DA1"/>
    <w:rsid w:val="00024431"/>
    <w:rsid w:val="000325D7"/>
    <w:rsid w:val="0003261F"/>
    <w:rsid w:val="00036672"/>
    <w:rsid w:val="00037357"/>
    <w:rsid w:val="000566D8"/>
    <w:rsid w:val="00060890"/>
    <w:rsid w:val="00064A47"/>
    <w:rsid w:val="000811F5"/>
    <w:rsid w:val="00091F8F"/>
    <w:rsid w:val="0009344D"/>
    <w:rsid w:val="00095A31"/>
    <w:rsid w:val="00096A2F"/>
    <w:rsid w:val="000B4430"/>
    <w:rsid w:val="000C00ED"/>
    <w:rsid w:val="000C4D3D"/>
    <w:rsid w:val="000E5B6E"/>
    <w:rsid w:val="000E6FA5"/>
    <w:rsid w:val="000F16F8"/>
    <w:rsid w:val="000F1B41"/>
    <w:rsid w:val="000F23F7"/>
    <w:rsid w:val="001021C2"/>
    <w:rsid w:val="00103867"/>
    <w:rsid w:val="00104C04"/>
    <w:rsid w:val="00106E10"/>
    <w:rsid w:val="00106FB6"/>
    <w:rsid w:val="00114A7F"/>
    <w:rsid w:val="001379FE"/>
    <w:rsid w:val="00142BA2"/>
    <w:rsid w:val="001508F3"/>
    <w:rsid w:val="001510F5"/>
    <w:rsid w:val="00166A58"/>
    <w:rsid w:val="001772F3"/>
    <w:rsid w:val="001817F1"/>
    <w:rsid w:val="00181A2D"/>
    <w:rsid w:val="0018229D"/>
    <w:rsid w:val="0019493D"/>
    <w:rsid w:val="0019553B"/>
    <w:rsid w:val="001A36E5"/>
    <w:rsid w:val="001A4EEB"/>
    <w:rsid w:val="001B000D"/>
    <w:rsid w:val="001B2127"/>
    <w:rsid w:val="001C08C6"/>
    <w:rsid w:val="001C0AF5"/>
    <w:rsid w:val="001C6592"/>
    <w:rsid w:val="001D5AE2"/>
    <w:rsid w:val="001E289F"/>
    <w:rsid w:val="001E313A"/>
    <w:rsid w:val="0020568D"/>
    <w:rsid w:val="00213774"/>
    <w:rsid w:val="0022257C"/>
    <w:rsid w:val="002342C4"/>
    <w:rsid w:val="00241B93"/>
    <w:rsid w:val="002446C0"/>
    <w:rsid w:val="002532EB"/>
    <w:rsid w:val="00261F9B"/>
    <w:rsid w:val="002637FA"/>
    <w:rsid w:val="00271CDC"/>
    <w:rsid w:val="0028003D"/>
    <w:rsid w:val="00285640"/>
    <w:rsid w:val="002977F7"/>
    <w:rsid w:val="002A028B"/>
    <w:rsid w:val="002A342F"/>
    <w:rsid w:val="002B1569"/>
    <w:rsid w:val="002C0126"/>
    <w:rsid w:val="002C1D85"/>
    <w:rsid w:val="002C4A49"/>
    <w:rsid w:val="002D2D7D"/>
    <w:rsid w:val="002D48E0"/>
    <w:rsid w:val="002D58BA"/>
    <w:rsid w:val="00307089"/>
    <w:rsid w:val="003173A6"/>
    <w:rsid w:val="00325F62"/>
    <w:rsid w:val="00327F27"/>
    <w:rsid w:val="003433FB"/>
    <w:rsid w:val="00345B67"/>
    <w:rsid w:val="003541DF"/>
    <w:rsid w:val="0036046B"/>
    <w:rsid w:val="003678D6"/>
    <w:rsid w:val="00372570"/>
    <w:rsid w:val="003976EE"/>
    <w:rsid w:val="003A2189"/>
    <w:rsid w:val="003A28B2"/>
    <w:rsid w:val="003A68A2"/>
    <w:rsid w:val="003B021A"/>
    <w:rsid w:val="003C1190"/>
    <w:rsid w:val="003C485B"/>
    <w:rsid w:val="003C7337"/>
    <w:rsid w:val="003D1A13"/>
    <w:rsid w:val="003D1FF4"/>
    <w:rsid w:val="003D6247"/>
    <w:rsid w:val="003E03DF"/>
    <w:rsid w:val="003E4A79"/>
    <w:rsid w:val="003E5842"/>
    <w:rsid w:val="003E5E3B"/>
    <w:rsid w:val="00403BC0"/>
    <w:rsid w:val="0040602F"/>
    <w:rsid w:val="00411B8B"/>
    <w:rsid w:val="00413902"/>
    <w:rsid w:val="00425E10"/>
    <w:rsid w:val="00430FBC"/>
    <w:rsid w:val="0043176A"/>
    <w:rsid w:val="00436216"/>
    <w:rsid w:val="0045105E"/>
    <w:rsid w:val="00453C76"/>
    <w:rsid w:val="00454403"/>
    <w:rsid w:val="004549E2"/>
    <w:rsid w:val="004550C0"/>
    <w:rsid w:val="0045569D"/>
    <w:rsid w:val="00460B25"/>
    <w:rsid w:val="00474782"/>
    <w:rsid w:val="004768BB"/>
    <w:rsid w:val="00476A55"/>
    <w:rsid w:val="00481B9B"/>
    <w:rsid w:val="00482FFE"/>
    <w:rsid w:val="00490593"/>
    <w:rsid w:val="004973CA"/>
    <w:rsid w:val="004A0018"/>
    <w:rsid w:val="004A5F92"/>
    <w:rsid w:val="004A7D08"/>
    <w:rsid w:val="004B59F0"/>
    <w:rsid w:val="004C2140"/>
    <w:rsid w:val="004C2436"/>
    <w:rsid w:val="004C6969"/>
    <w:rsid w:val="004D0BAD"/>
    <w:rsid w:val="004E2635"/>
    <w:rsid w:val="004E6879"/>
    <w:rsid w:val="004E72BA"/>
    <w:rsid w:val="004F4D0A"/>
    <w:rsid w:val="004F5424"/>
    <w:rsid w:val="004F7F86"/>
    <w:rsid w:val="00500C10"/>
    <w:rsid w:val="005051DF"/>
    <w:rsid w:val="00526E4B"/>
    <w:rsid w:val="0053143F"/>
    <w:rsid w:val="00542A97"/>
    <w:rsid w:val="0054409C"/>
    <w:rsid w:val="00546574"/>
    <w:rsid w:val="00553772"/>
    <w:rsid w:val="0055380C"/>
    <w:rsid w:val="00557E93"/>
    <w:rsid w:val="005838B1"/>
    <w:rsid w:val="005A43B3"/>
    <w:rsid w:val="005A54E4"/>
    <w:rsid w:val="005B0EF3"/>
    <w:rsid w:val="005B2C3C"/>
    <w:rsid w:val="005C3947"/>
    <w:rsid w:val="005D0BED"/>
    <w:rsid w:val="005E3107"/>
    <w:rsid w:val="005E58D4"/>
    <w:rsid w:val="005F53B2"/>
    <w:rsid w:val="00607F5B"/>
    <w:rsid w:val="0062633B"/>
    <w:rsid w:val="006437F9"/>
    <w:rsid w:val="00663D26"/>
    <w:rsid w:val="00664B44"/>
    <w:rsid w:val="0067018E"/>
    <w:rsid w:val="00673D6A"/>
    <w:rsid w:val="006849D0"/>
    <w:rsid w:val="006956FD"/>
    <w:rsid w:val="006979FF"/>
    <w:rsid w:val="006A1FE8"/>
    <w:rsid w:val="006A2419"/>
    <w:rsid w:val="006A26B3"/>
    <w:rsid w:val="006A4902"/>
    <w:rsid w:val="006B38F7"/>
    <w:rsid w:val="006B4D4C"/>
    <w:rsid w:val="006B51AB"/>
    <w:rsid w:val="006B6CFB"/>
    <w:rsid w:val="006B7A98"/>
    <w:rsid w:val="006C3029"/>
    <w:rsid w:val="006C5640"/>
    <w:rsid w:val="006D5C61"/>
    <w:rsid w:val="006D65A3"/>
    <w:rsid w:val="006E1E22"/>
    <w:rsid w:val="006E325F"/>
    <w:rsid w:val="00720828"/>
    <w:rsid w:val="00726C62"/>
    <w:rsid w:val="00735C39"/>
    <w:rsid w:val="007379B4"/>
    <w:rsid w:val="007479C1"/>
    <w:rsid w:val="007543E6"/>
    <w:rsid w:val="00760ADF"/>
    <w:rsid w:val="007635BF"/>
    <w:rsid w:val="00773045"/>
    <w:rsid w:val="0077777E"/>
    <w:rsid w:val="00780BB9"/>
    <w:rsid w:val="00786B1D"/>
    <w:rsid w:val="00791781"/>
    <w:rsid w:val="007A0D1E"/>
    <w:rsid w:val="007A0FEC"/>
    <w:rsid w:val="007A2FC6"/>
    <w:rsid w:val="007A5CFF"/>
    <w:rsid w:val="007B3B80"/>
    <w:rsid w:val="007C474D"/>
    <w:rsid w:val="007D3928"/>
    <w:rsid w:val="007D3B2B"/>
    <w:rsid w:val="007E0D86"/>
    <w:rsid w:val="007E1492"/>
    <w:rsid w:val="00801F4F"/>
    <w:rsid w:val="00805328"/>
    <w:rsid w:val="00813FE9"/>
    <w:rsid w:val="00825535"/>
    <w:rsid w:val="00825A9D"/>
    <w:rsid w:val="00832230"/>
    <w:rsid w:val="00861345"/>
    <w:rsid w:val="00865168"/>
    <w:rsid w:val="008676E9"/>
    <w:rsid w:val="00871838"/>
    <w:rsid w:val="00875BF3"/>
    <w:rsid w:val="00890F54"/>
    <w:rsid w:val="0089391E"/>
    <w:rsid w:val="008A7496"/>
    <w:rsid w:val="008B0008"/>
    <w:rsid w:val="008C0B15"/>
    <w:rsid w:val="008C3874"/>
    <w:rsid w:val="008C3F63"/>
    <w:rsid w:val="008E4976"/>
    <w:rsid w:val="008E5A99"/>
    <w:rsid w:val="008F04BF"/>
    <w:rsid w:val="008F0552"/>
    <w:rsid w:val="008F3D20"/>
    <w:rsid w:val="008F4328"/>
    <w:rsid w:val="008F5124"/>
    <w:rsid w:val="00916251"/>
    <w:rsid w:val="009244D2"/>
    <w:rsid w:val="009267EF"/>
    <w:rsid w:val="00931B46"/>
    <w:rsid w:val="00946965"/>
    <w:rsid w:val="0094799A"/>
    <w:rsid w:val="00950F35"/>
    <w:rsid w:val="0095575B"/>
    <w:rsid w:val="00963536"/>
    <w:rsid w:val="00976E2C"/>
    <w:rsid w:val="009834FD"/>
    <w:rsid w:val="00984CEB"/>
    <w:rsid w:val="00986A08"/>
    <w:rsid w:val="009A404F"/>
    <w:rsid w:val="009D307E"/>
    <w:rsid w:val="009E07ED"/>
    <w:rsid w:val="009E2824"/>
    <w:rsid w:val="009E49B2"/>
    <w:rsid w:val="009F0566"/>
    <w:rsid w:val="00A00C88"/>
    <w:rsid w:val="00A142A7"/>
    <w:rsid w:val="00A24D52"/>
    <w:rsid w:val="00A3468F"/>
    <w:rsid w:val="00A356D5"/>
    <w:rsid w:val="00A428AF"/>
    <w:rsid w:val="00A44037"/>
    <w:rsid w:val="00A53183"/>
    <w:rsid w:val="00A653BB"/>
    <w:rsid w:val="00A734A9"/>
    <w:rsid w:val="00A842BD"/>
    <w:rsid w:val="00A87561"/>
    <w:rsid w:val="00A93C65"/>
    <w:rsid w:val="00A968ED"/>
    <w:rsid w:val="00AB3D14"/>
    <w:rsid w:val="00AB6A94"/>
    <w:rsid w:val="00AC0E4F"/>
    <w:rsid w:val="00AD5469"/>
    <w:rsid w:val="00AE441A"/>
    <w:rsid w:val="00AF4FF6"/>
    <w:rsid w:val="00AF6CBC"/>
    <w:rsid w:val="00B24214"/>
    <w:rsid w:val="00B33DBF"/>
    <w:rsid w:val="00B51276"/>
    <w:rsid w:val="00B81943"/>
    <w:rsid w:val="00B8251A"/>
    <w:rsid w:val="00B861FD"/>
    <w:rsid w:val="00B900A3"/>
    <w:rsid w:val="00BA208D"/>
    <w:rsid w:val="00BA4E34"/>
    <w:rsid w:val="00BA57D5"/>
    <w:rsid w:val="00BA7D9F"/>
    <w:rsid w:val="00BB1BB1"/>
    <w:rsid w:val="00BB1CE6"/>
    <w:rsid w:val="00BD70FB"/>
    <w:rsid w:val="00BE09BB"/>
    <w:rsid w:val="00BF002A"/>
    <w:rsid w:val="00BF3A59"/>
    <w:rsid w:val="00C02C18"/>
    <w:rsid w:val="00C12F1A"/>
    <w:rsid w:val="00C439CB"/>
    <w:rsid w:val="00C709C3"/>
    <w:rsid w:val="00C7192A"/>
    <w:rsid w:val="00C80F63"/>
    <w:rsid w:val="00C81686"/>
    <w:rsid w:val="00C819F5"/>
    <w:rsid w:val="00C95E4C"/>
    <w:rsid w:val="00C96913"/>
    <w:rsid w:val="00C96A21"/>
    <w:rsid w:val="00C973ED"/>
    <w:rsid w:val="00CA3586"/>
    <w:rsid w:val="00CA41E1"/>
    <w:rsid w:val="00CA7C5E"/>
    <w:rsid w:val="00CB0E10"/>
    <w:rsid w:val="00CC231B"/>
    <w:rsid w:val="00CD0D31"/>
    <w:rsid w:val="00CD1DEB"/>
    <w:rsid w:val="00CD4535"/>
    <w:rsid w:val="00CD7220"/>
    <w:rsid w:val="00CE4978"/>
    <w:rsid w:val="00CE7ACF"/>
    <w:rsid w:val="00CF057F"/>
    <w:rsid w:val="00CF528E"/>
    <w:rsid w:val="00CF74ED"/>
    <w:rsid w:val="00D16CB7"/>
    <w:rsid w:val="00D218E1"/>
    <w:rsid w:val="00D24E37"/>
    <w:rsid w:val="00D33985"/>
    <w:rsid w:val="00D41CE6"/>
    <w:rsid w:val="00D56B4A"/>
    <w:rsid w:val="00D57B91"/>
    <w:rsid w:val="00D60356"/>
    <w:rsid w:val="00D60A75"/>
    <w:rsid w:val="00D64F6B"/>
    <w:rsid w:val="00D664F5"/>
    <w:rsid w:val="00D73151"/>
    <w:rsid w:val="00DB067D"/>
    <w:rsid w:val="00DB26A4"/>
    <w:rsid w:val="00DC5E34"/>
    <w:rsid w:val="00DD3889"/>
    <w:rsid w:val="00DD68ED"/>
    <w:rsid w:val="00DE2B5E"/>
    <w:rsid w:val="00DE312B"/>
    <w:rsid w:val="00DE3E36"/>
    <w:rsid w:val="00E03B56"/>
    <w:rsid w:val="00E0725E"/>
    <w:rsid w:val="00E107CD"/>
    <w:rsid w:val="00E12EC7"/>
    <w:rsid w:val="00E14F4C"/>
    <w:rsid w:val="00E1587A"/>
    <w:rsid w:val="00E24B91"/>
    <w:rsid w:val="00E307C9"/>
    <w:rsid w:val="00E4313B"/>
    <w:rsid w:val="00E44641"/>
    <w:rsid w:val="00E51C9A"/>
    <w:rsid w:val="00E51D06"/>
    <w:rsid w:val="00E529DC"/>
    <w:rsid w:val="00E56481"/>
    <w:rsid w:val="00E569A4"/>
    <w:rsid w:val="00E90B4F"/>
    <w:rsid w:val="00EA1A47"/>
    <w:rsid w:val="00EB0534"/>
    <w:rsid w:val="00EB20B2"/>
    <w:rsid w:val="00EB43B8"/>
    <w:rsid w:val="00EC5A37"/>
    <w:rsid w:val="00ED6740"/>
    <w:rsid w:val="00EE460A"/>
    <w:rsid w:val="00F04673"/>
    <w:rsid w:val="00F04720"/>
    <w:rsid w:val="00F05EF3"/>
    <w:rsid w:val="00F07CF8"/>
    <w:rsid w:val="00F344BB"/>
    <w:rsid w:val="00F3749A"/>
    <w:rsid w:val="00F4346F"/>
    <w:rsid w:val="00F5761C"/>
    <w:rsid w:val="00F659BA"/>
    <w:rsid w:val="00F66F37"/>
    <w:rsid w:val="00F80B10"/>
    <w:rsid w:val="00F81B5D"/>
    <w:rsid w:val="00F93DDE"/>
    <w:rsid w:val="00FA6797"/>
    <w:rsid w:val="00FB0B32"/>
    <w:rsid w:val="00FB3D62"/>
    <w:rsid w:val="00FE4F12"/>
    <w:rsid w:val="00FE6B72"/>
    <w:rsid w:val="00FE7790"/>
    <w:rsid w:val="00FF0236"/>
    <w:rsid w:val="00FF2607"/>
    <w:rsid w:val="00FF594D"/>
    <w:rsid w:val="030556AF"/>
    <w:rsid w:val="0D2A798B"/>
    <w:rsid w:val="1014319F"/>
    <w:rsid w:val="127364C2"/>
    <w:rsid w:val="5008367E"/>
    <w:rsid w:val="506A728A"/>
    <w:rsid w:val="551609FF"/>
    <w:rsid w:val="5A5D0BE5"/>
    <w:rsid w:val="654F44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 w:eastAsia="宋体" w:cs="Times New Roman"/>
      <w:b/>
      <w:bCs/>
      <w:sz w:val="21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5">
    <w:name w:val="annotation text"/>
    <w:basedOn w:val="1"/>
    <w:link w:val="24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6">
    <w:name w:val="Body Text"/>
    <w:basedOn w:val="1"/>
    <w:link w:val="19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7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眉 Char"/>
    <w:link w:val="10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8">
    <w:name w:val="页脚 Char"/>
    <w:link w:val="9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9">
    <w:name w:val="正文文本 Char"/>
    <w:link w:val="6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20">
    <w:name w:val="日期 Char"/>
    <w:basedOn w:val="14"/>
    <w:link w:val="8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1">
    <w:name w:val="标题 1 Char"/>
    <w:basedOn w:val="14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2">
    <w:name w:val="正文文本缩进 Char"/>
    <w:basedOn w:val="14"/>
    <w:link w:val="7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3">
    <w:name w:val="批注文字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文字 Char1"/>
    <w:basedOn w:val="14"/>
    <w:link w:val="5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5">
    <w:name w:val="fontstyle01"/>
    <w:basedOn w:val="14"/>
    <w:qFormat/>
    <w:uiPriority w:val="0"/>
    <w:rPr>
      <w:rFonts w:hint="default" w:ascii="FangSong.GB2312" w:hAnsi="FangSong.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51"/>
    <customShpInfo spid="_x0000_s2052"/>
    <customShpInfo spid="_x0000_s2049" textRotate="1"/>
    <customShpInfo spid="_x0000_s1036"/>
    <customShpInfo spid="_x0000_s1035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F58C90-C441-4369-897D-CBCA220A31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2716</Words>
  <Characters>2785</Characters>
  <Lines>2</Lines>
  <Paragraphs>1</Paragraphs>
  <TotalTime>12</TotalTime>
  <ScaleCrop>false</ScaleCrop>
  <LinksUpToDate>false</LinksUpToDate>
  <CharactersWithSpaces>3171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2020-08-18T06:51:00Z</dcterms:created>
  <dc:creator>区农林局收发员</dc:creator>
  <cp:lastModifiedBy>奇洛元维斯</cp:lastModifiedBy>
  <cp:lastPrinted>2020-08-18T07:10:00Z</cp:lastPrinted>
  <dcterms:modified xsi:type="dcterms:W3CDTF">2022-08-25T01:26:56Z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4E178F98A4DF462BB9313DFDC0CAAA4B</vt:lpwstr>
  </property>
</Properties>
</file>