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116" w:type="pct"/>
        <w:tblInd w:w="0" w:type="dxa"/>
        <w:tblLayout w:type="autofit"/>
        <w:tblCellMar>
          <w:top w:w="0" w:type="dxa"/>
          <w:left w:w="0" w:type="dxa"/>
          <w:bottom w:w="0" w:type="dxa"/>
          <w:right w:w="0" w:type="dxa"/>
        </w:tblCellMar>
      </w:tblPr>
      <w:tblGrid>
        <w:gridCol w:w="500"/>
        <w:gridCol w:w="1130"/>
        <w:gridCol w:w="775"/>
        <w:gridCol w:w="1350"/>
        <w:gridCol w:w="3677"/>
        <w:gridCol w:w="1084"/>
        <w:gridCol w:w="1148"/>
        <w:gridCol w:w="3522"/>
        <w:gridCol w:w="412"/>
        <w:gridCol w:w="412"/>
        <w:gridCol w:w="384"/>
        <w:gridCol w:w="393"/>
        <w:gridCol w:w="486"/>
        <w:gridCol w:w="514"/>
      </w:tblGrid>
      <w:tr>
        <w:tblPrEx>
          <w:tblCellMar>
            <w:top w:w="0" w:type="dxa"/>
            <w:left w:w="0" w:type="dxa"/>
            <w:bottom w:w="0" w:type="dxa"/>
            <w:right w:w="0" w:type="dxa"/>
          </w:tblCellMar>
        </w:tblPrEx>
        <w:trPr>
          <w:trHeight w:val="826" w:hRule="atLeast"/>
        </w:trPr>
        <w:tc>
          <w:tcPr>
            <w:tcW w:w="5000" w:type="pct"/>
            <w:gridSpan w:val="14"/>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color w:val="000000"/>
                <w:sz w:val="22"/>
                <w:szCs w:val="22"/>
              </w:rPr>
            </w:pPr>
            <w:r>
              <w:rPr>
                <w:rFonts w:hint="eastAsia" w:ascii="方正小标宋简体" w:hAnsi="方正小标宋简体" w:eastAsia="方正小标宋简体" w:cs="方正小标宋简体"/>
                <w:color w:val="000000"/>
                <w:sz w:val="36"/>
                <w:szCs w:val="36"/>
              </w:rPr>
              <w:t>（九）就业创业领域基层政务公开标准目录</w:t>
            </w:r>
          </w:p>
        </w:tc>
      </w:tr>
      <w:tr>
        <w:tblPrEx>
          <w:tblCellMar>
            <w:top w:w="0" w:type="dxa"/>
            <w:left w:w="0" w:type="dxa"/>
            <w:bottom w:w="0" w:type="dxa"/>
            <w:right w:w="0" w:type="dxa"/>
          </w:tblCellMar>
        </w:tblPrEx>
        <w:trPr>
          <w:trHeight w:val="284" w:hRule="atLeast"/>
        </w:trPr>
        <w:tc>
          <w:tcPr>
            <w:tcW w:w="161"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序号</w:t>
            </w:r>
          </w:p>
        </w:tc>
        <w:tc>
          <w:tcPr>
            <w:tcW w:w="5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公开事项</w:t>
            </w:r>
          </w:p>
        </w:tc>
        <w:tc>
          <w:tcPr>
            <w:tcW w:w="43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公开内容</w:t>
            </w:r>
            <w:r>
              <w:rPr>
                <w:rFonts w:hint="eastAsia" w:ascii="黑体" w:hAnsi="黑体" w:eastAsia="黑体" w:cs="黑体"/>
                <w:sz w:val="22"/>
                <w:szCs w:val="22"/>
              </w:rPr>
              <w:br w:type="textWrapping"/>
            </w:r>
            <w:r>
              <w:rPr>
                <w:rFonts w:hint="eastAsia" w:ascii="黑体" w:hAnsi="黑体" w:eastAsia="黑体" w:cs="黑体"/>
                <w:sz w:val="22"/>
                <w:szCs w:val="22"/>
              </w:rPr>
              <w:t>（要素）</w:t>
            </w:r>
          </w:p>
        </w:tc>
        <w:tc>
          <w:tcPr>
            <w:tcW w:w="11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公开依据</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公开时限</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公开主体</w:t>
            </w:r>
          </w:p>
        </w:tc>
        <w:tc>
          <w:tcPr>
            <w:tcW w:w="111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公开渠道和载体</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公开对象</w:t>
            </w:r>
          </w:p>
        </w:tc>
        <w:tc>
          <w:tcPr>
            <w:tcW w:w="25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公开方式</w:t>
            </w:r>
          </w:p>
        </w:tc>
        <w:tc>
          <w:tcPr>
            <w:tcW w:w="314"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公开层级</w:t>
            </w:r>
          </w:p>
        </w:tc>
      </w:tr>
      <w:tr>
        <w:tblPrEx>
          <w:tblCellMar>
            <w:top w:w="0" w:type="dxa"/>
            <w:left w:w="0" w:type="dxa"/>
            <w:bottom w:w="0" w:type="dxa"/>
            <w:right w:w="0" w:type="dxa"/>
          </w:tblCellMar>
        </w:tblPrEx>
        <w:trPr>
          <w:trHeight w:val="1437" w:hRule="atLeast"/>
        </w:trPr>
        <w:tc>
          <w:tcPr>
            <w:tcW w:w="161"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黑体" w:hAnsi="黑体" w:eastAsia="黑体" w:cs="黑体"/>
                <w:sz w:val="22"/>
                <w:szCs w:val="22"/>
              </w:rPr>
            </w:pP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一级</w:t>
            </w:r>
          </w:p>
          <w:p>
            <w:pPr>
              <w:jc w:val="center"/>
              <w:textAlignment w:val="center"/>
              <w:rPr>
                <w:rFonts w:hint="eastAsia" w:ascii="黑体" w:hAnsi="黑体" w:eastAsia="黑体" w:cs="黑体"/>
                <w:sz w:val="22"/>
                <w:szCs w:val="22"/>
              </w:rPr>
            </w:pPr>
            <w:r>
              <w:rPr>
                <w:rFonts w:hint="eastAsia" w:ascii="黑体" w:hAnsi="黑体" w:eastAsia="黑体" w:cs="黑体"/>
                <w:sz w:val="22"/>
                <w:szCs w:val="22"/>
              </w:rPr>
              <w:t>事项</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二级</w:t>
            </w:r>
          </w:p>
          <w:p>
            <w:pPr>
              <w:jc w:val="center"/>
              <w:textAlignment w:val="center"/>
              <w:rPr>
                <w:rFonts w:hint="eastAsia" w:ascii="黑体" w:hAnsi="黑体" w:eastAsia="黑体" w:cs="黑体"/>
                <w:sz w:val="22"/>
                <w:szCs w:val="22"/>
              </w:rPr>
            </w:pPr>
            <w:r>
              <w:rPr>
                <w:rFonts w:hint="eastAsia" w:ascii="黑体" w:hAnsi="黑体" w:eastAsia="黑体" w:cs="黑体"/>
                <w:sz w:val="22"/>
                <w:szCs w:val="22"/>
              </w:rPr>
              <w:t>事项</w:t>
            </w:r>
          </w:p>
        </w:tc>
        <w:tc>
          <w:tcPr>
            <w:tcW w:w="43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sz w:val="22"/>
                <w:szCs w:val="22"/>
              </w:rPr>
            </w:pPr>
          </w:p>
        </w:tc>
        <w:tc>
          <w:tcPr>
            <w:tcW w:w="11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sz w:val="22"/>
                <w:szCs w:val="22"/>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sz w:val="22"/>
                <w:szCs w:val="22"/>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sz w:val="22"/>
                <w:szCs w:val="22"/>
              </w:rPr>
            </w:pPr>
          </w:p>
        </w:tc>
        <w:tc>
          <w:tcPr>
            <w:tcW w:w="111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黑体" w:hAnsi="黑体" w:eastAsia="黑体" w:cs="黑体"/>
                <w:sz w:val="22"/>
                <w:szCs w:val="22"/>
              </w:rPr>
            </w:pP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全社会</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特定群体</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主动</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依申请</w:t>
            </w: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县级</w:t>
            </w:r>
          </w:p>
        </w:tc>
        <w:tc>
          <w:tcPr>
            <w:tcW w:w="1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黑体" w:hAnsi="黑体" w:eastAsia="黑体" w:cs="黑体"/>
                <w:sz w:val="22"/>
                <w:szCs w:val="22"/>
              </w:rPr>
            </w:pPr>
            <w:r>
              <w:rPr>
                <w:rFonts w:hint="eastAsia" w:ascii="黑体" w:hAnsi="黑体" w:eastAsia="黑体" w:cs="黑体"/>
                <w:sz w:val="22"/>
                <w:szCs w:val="22"/>
              </w:rPr>
              <w:t>乡级</w:t>
            </w:r>
          </w:p>
        </w:tc>
      </w:tr>
      <w:tr>
        <w:tblPrEx>
          <w:tblCellMar>
            <w:top w:w="0" w:type="dxa"/>
            <w:left w:w="0" w:type="dxa"/>
            <w:bottom w:w="0" w:type="dxa"/>
            <w:right w:w="0" w:type="dxa"/>
          </w:tblCellMar>
        </w:tblPrEx>
        <w:trPr>
          <w:trHeight w:val="4379"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1.就业信息服务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1.1就业创业政策法规</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1.就业创业政策项目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3.政策申请条件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4.政策申请材料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6"/>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p>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1.2岗位信息发布</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1.招聘单位</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2.岗位要求</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3.福利待遇</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1.3求职信息登记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1.服务对象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2.提交材料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4.服务时间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5.服务地点（方式）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1.4职业培训信息发布</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1.培训项目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3.培训内容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4.培训课时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5.授课地点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7.报名材料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8.报名地点（方式）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2.职业介绍、职业指导</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2.1职业介绍</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1.服务内容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2.服务对象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3.提交材料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4.服务时间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5.服务地点（方式）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2.2职业指导</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1.服务内容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2.服务对象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3.提交材料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4.服务时间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5.服务地点（方式）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2.3创业开业指导</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1.服务内容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2.服务对象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3.提交材料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4.服务时间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5.服务地点（方式）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3.公共就业服务专项活动</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3.1公共就业服务专项活动</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1.活动通知</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2.活动时间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3.参与方式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4.相关材料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5.活动地址</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4.就业失业登记</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4.1失业登记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2.申请人权利和义务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4.2就业登记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2.办理条件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3.办理材料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39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11</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4.3《就业创业证》申领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2.证件使用注意事项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3.申领条件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4.申领材料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8.证件送达方式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12</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5.创业服务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5.1创业培训补贴申领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95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5.2一次性创业资助申领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5.3租金补贴申领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95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15</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5.4创业带动就业补贴申领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550"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16</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5.创业服务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5.5创业孵化补贴申领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3.《人力资源市场暂行条例》（中华人民共和国国务院令第700号）4.《广东省实施〈中华人民共和国就业促进法〉办法》（2009年11月</w:t>
            </w:r>
            <w:r>
              <w:rPr>
                <w:rFonts w:hint="eastAsia" w:ascii="仿宋_GB2312" w:hAnsi="仿宋_GB2312" w:eastAsia="仿宋_GB2312" w:cs="仿宋_GB2312"/>
                <w:sz w:val="22"/>
                <w:szCs w:val="22"/>
                <w:lang w:val="en-US" w:eastAsia="zh-CN"/>
              </w:rPr>
              <w:t>26</w:t>
            </w:r>
            <w:r>
              <w:rPr>
                <w:rFonts w:hint="eastAsia" w:ascii="仿宋_GB2312" w:hAnsi="仿宋_GB2312" w:eastAsia="仿宋_GB2312" w:cs="仿宋_GB2312"/>
                <w:sz w:val="22"/>
                <w:szCs w:val="22"/>
              </w:rPr>
              <w:t xml:space="preserve">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5.6创业担保贷款申请</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3.贷款额度</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18</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6.1就业困难人员认定</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19</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6.2就业困难人员社会保险补贴申领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6.3一般性岗位补贴申领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97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21</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6.4公益性岗位补贴申领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6.5公益性岗位社保个人缴费补贴申领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23</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6.6求职创业补贴申领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6.7吸纳建档立卡贫困劳动力就业补助和省级示范性就业扶贫基地补助申领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3.奖补标准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7.1高等学校等毕业生接收手续办理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2.对象范围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3.办理条件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4.办理材料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8.办理结果告知方式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7.2吸纳应届高校毕业生社保补贴申领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27</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7.3应届高校毕业生到基层就业补贴申领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28</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7.4高校毕业生基层就业岗位补贴申领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29</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7.5求职创业补贴申领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7.6高校毕业生职业培训补贴申领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31</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7.7就业见习补贴申领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97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7.8就业见习生活费补贴申领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7.9见习留用补贴申领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34</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8.流动人员人事档案管理服务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8.1流动人员人事档案管理服务</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1.服务内容</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2.服务对象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3.提交材料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4.服务时间</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5.服务地点（方式）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023"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9.其他补贴申领服务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9.1职业介绍补贴申领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9.2劳动力职业技能提升补贴申领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96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9.3灵活就业社会保险补贴申领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3.《人力资源市场暂行条例》（中华人民共和国国务院令第700号）4.《广东省实施〈中华人民共和国就业促进法〉办法》（2009年11月</w:t>
            </w:r>
            <w:r>
              <w:rPr>
                <w:rFonts w:hint="eastAsia" w:ascii="仿宋_GB2312" w:hAnsi="仿宋_GB2312" w:eastAsia="仿宋_GB2312" w:cs="仿宋_GB2312"/>
                <w:sz w:val="22"/>
                <w:szCs w:val="22"/>
                <w:lang w:val="en-US" w:eastAsia="zh-CN"/>
              </w:rPr>
              <w:t>26</w:t>
            </w:r>
            <w:bookmarkStart w:id="0" w:name="_GoBack"/>
            <w:bookmarkEnd w:id="0"/>
            <w:r>
              <w:rPr>
                <w:rFonts w:hint="eastAsia" w:ascii="仿宋_GB2312" w:hAnsi="仿宋_GB2312" w:eastAsia="仿宋_GB2312" w:cs="仿宋_GB2312"/>
                <w:sz w:val="22"/>
                <w:szCs w:val="22"/>
              </w:rPr>
              <w:t xml:space="preserve">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38</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9.4员工制家家政服务企业社会保险补贴（试点）和省级家庭服务培训示范基地补助申领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公开事项信息形成或变更之日起21个工作日内公开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39</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9.5省内（省际）劳务协作和就业扶贫服务补助申领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1.文件依据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2.政策对象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3.补贴标准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4.申请条件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5.申请材料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6.办理流程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7.办理时限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8.办理地点（方式）</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9.办理结果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1.《中华人民共和国政府信息公开条例》（中华人民共和国国务院令第711号）</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新会区人力资源和社会保障局</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仿宋_GB2312" w:hAnsi="仿宋_GB2312" w:eastAsia="仿宋_GB2312" w:cs="仿宋_GB2312"/>
                <w:sz w:val="22"/>
                <w:szCs w:val="22"/>
              </w:rPr>
            </w:pPr>
            <w:r>
              <w:rPr>
                <w:rStyle w:val="6"/>
                <w:rFonts w:hint="eastAsia" w:ascii="仿宋_GB2312" w:hAnsi="仿宋_GB2312" w:eastAsia="仿宋_GB2312" w:cs="仿宋_GB2312"/>
                <w:sz w:val="22"/>
                <w:szCs w:val="22"/>
              </w:rPr>
              <w:t>■政府网站    □政府公报</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□两微一端    □发布会/听证会</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□广播电视    □纸质媒体</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□公开查阅点  □政务服务中心</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□便民服务站  □入户/现场</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■社区/企事业单位/村公示栏（电子屏）</w:t>
            </w:r>
            <w:r>
              <w:rPr>
                <w:rStyle w:val="6"/>
                <w:rFonts w:hint="eastAsia" w:ascii="仿宋_GB2312" w:hAnsi="仿宋_GB2312" w:eastAsia="仿宋_GB2312" w:cs="仿宋_GB2312"/>
                <w:sz w:val="22"/>
                <w:szCs w:val="22"/>
              </w:rPr>
              <w:br w:type="textWrapping"/>
            </w:r>
            <w:r>
              <w:rPr>
                <w:rStyle w:val="6"/>
                <w:rFonts w:hint="eastAsia" w:ascii="仿宋_GB2312" w:hAnsi="仿宋_GB2312" w:eastAsia="仿宋_GB2312" w:cs="仿宋_GB2312"/>
                <w:sz w:val="22"/>
                <w:szCs w:val="22"/>
              </w:rPr>
              <w:t>□精准推送    ■其他</w:t>
            </w:r>
            <w:r>
              <w:rPr>
                <w:rStyle w:val="7"/>
                <w:rFonts w:hint="eastAsia" w:ascii="仿宋_GB2312" w:hAnsi="仿宋_GB2312" w:eastAsia="仿宋_GB2312" w:cs="仿宋_GB2312"/>
                <w:sz w:val="22"/>
                <w:szCs w:val="22"/>
              </w:rPr>
              <w:t xml:space="preserve"> 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r>
        <w:tblPrEx>
          <w:tblCellMar>
            <w:top w:w="0" w:type="dxa"/>
            <w:left w:w="0" w:type="dxa"/>
            <w:bottom w:w="0" w:type="dxa"/>
            <w:right w:w="0" w:type="dxa"/>
          </w:tblCellMar>
        </w:tblPrEx>
        <w:trPr>
          <w:trHeight w:val="267" w:hRule="atLeast"/>
          <w:hidden/>
        </w:trPr>
        <w:tc>
          <w:tcPr>
            <w:tcW w:w="161"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326"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248"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167"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366"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24"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26" w:type="pct"/>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vanish/>
                <w:sz w:val="22"/>
                <w:szCs w:val="22"/>
              </w:rPr>
            </w:pPr>
          </w:p>
        </w:tc>
        <w:tc>
          <w:tcPr>
            <w:tcW w:w="156" w:type="pct"/>
            <w:shd w:val="clear" w:color="auto" w:fill="auto"/>
            <w:vAlign w:val="center"/>
          </w:tcPr>
          <w:p>
            <w:pPr>
              <w:rPr>
                <w:rFonts w:hint="eastAsia" w:ascii="仿宋_GB2312" w:hAnsi="仿宋_GB2312" w:eastAsia="仿宋_GB2312" w:cs="仿宋_GB2312"/>
                <w:vanish/>
                <w:sz w:val="22"/>
                <w:szCs w:val="22"/>
              </w:rPr>
            </w:pPr>
          </w:p>
        </w:tc>
        <w:tc>
          <w:tcPr>
            <w:tcW w:w="158" w:type="pct"/>
            <w:shd w:val="clear" w:color="auto" w:fill="auto"/>
            <w:vAlign w:val="center"/>
          </w:tcPr>
          <w:p>
            <w:pPr>
              <w:rPr>
                <w:rFonts w:hint="eastAsia" w:ascii="仿宋_GB2312" w:hAnsi="仿宋_GB2312" w:eastAsia="仿宋_GB2312" w:cs="仿宋_GB2312"/>
                <w:vanish/>
                <w:sz w:val="22"/>
                <w:szCs w:val="22"/>
              </w:rPr>
            </w:pPr>
          </w:p>
        </w:tc>
      </w:tr>
    </w:tbl>
    <w:p/>
    <w:sectPr>
      <w:headerReference r:id="rId5" w:type="first"/>
      <w:footerReference r:id="rId8" w:type="first"/>
      <w:headerReference r:id="rId3" w:type="default"/>
      <w:footerReference r:id="rId6" w:type="default"/>
      <w:headerReference r:id="rId4" w:type="even"/>
      <w:footerReference r:id="rId7" w:type="even"/>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10DE"/>
    <w:rsid w:val="00057922"/>
    <w:rsid w:val="0023642C"/>
    <w:rsid w:val="00320138"/>
    <w:rsid w:val="00357309"/>
    <w:rsid w:val="006B3D7B"/>
    <w:rsid w:val="006F04CA"/>
    <w:rsid w:val="00956415"/>
    <w:rsid w:val="00B3510C"/>
    <w:rsid w:val="00B510DE"/>
    <w:rsid w:val="00DE5F0F"/>
    <w:rsid w:val="00DF5AE7"/>
    <w:rsid w:val="00ED6096"/>
    <w:rsid w:val="14603B5E"/>
    <w:rsid w:val="1D1971CE"/>
    <w:rsid w:val="58016ACE"/>
    <w:rsid w:val="758A2B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auto"/>
      <w:sz w:val="24"/>
      <w:szCs w:val="24"/>
      <w:u w:val="none"/>
    </w:rPr>
  </w:style>
  <w:style w:type="character" w:customStyle="1" w:styleId="7">
    <w:name w:val="font261"/>
    <w:basedOn w:val="5"/>
    <w:qFormat/>
    <w:uiPriority w:val="0"/>
    <w:rPr>
      <w:rFonts w:hint="eastAsia" w:ascii="宋体" w:hAnsi="宋体" w:eastAsia="宋体" w:cs="宋体"/>
      <w:color w:val="auto"/>
      <w:sz w:val="24"/>
      <w:szCs w:val="24"/>
      <w:u w:val="single"/>
    </w:rPr>
  </w:style>
  <w:style w:type="character" w:customStyle="1" w:styleId="8">
    <w:name w:val="页眉 Char"/>
    <w:basedOn w:val="5"/>
    <w:link w:val="3"/>
    <w:qFormat/>
    <w:uiPriority w:val="99"/>
    <w:rPr>
      <w:rFonts w:cs="Times New Roman" w:asciiTheme="minorEastAsia" w:hAnsiTheme="minorEastAsia"/>
      <w:kern w:val="0"/>
      <w:sz w:val="18"/>
      <w:szCs w:val="18"/>
    </w:rPr>
  </w:style>
  <w:style w:type="character" w:customStyle="1" w:styleId="9">
    <w:name w:val="页脚 Char"/>
    <w:basedOn w:val="5"/>
    <w:link w:val="2"/>
    <w:qFormat/>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3321</Words>
  <Characters>18933</Characters>
  <Lines>157</Lines>
  <Paragraphs>44</Paragraphs>
  <TotalTime>49</TotalTime>
  <ScaleCrop>false</ScaleCrop>
  <LinksUpToDate>false</LinksUpToDate>
  <CharactersWithSpaces>22210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2020-11-16T08:55:00Z</dcterms:created>
  <dc:creator>jm1</dc:creator>
  <cp:lastModifiedBy>区人力资源和社会保障局收文员</cp:lastModifiedBy>
  <dcterms:modified xsi:type="dcterms:W3CDTF">2022-07-26T03:23:31Z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