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Cs w:val="32"/>
        </w:rPr>
      </w:pPr>
      <w:r>
        <w:rPr>
          <w:rFonts w:hint="eastAsia" w:ascii="黑体" w:hAnsi="黑体" w:eastAsia="黑体"/>
          <w:szCs w:val="32"/>
        </w:rPr>
        <w:t xml:space="preserve"> </w:t>
      </w:r>
    </w:p>
    <w:p>
      <w:pPr>
        <w:spacing w:line="240" w:lineRule="exact"/>
        <w:rPr>
          <w:rFonts w:asciiTheme="minorEastAsia" w:hAnsiTheme="minorEastAsia" w:eastAsiaTheme="minorEastAsia"/>
          <w:szCs w:val="32"/>
        </w:rPr>
      </w:pPr>
    </w:p>
    <w:p>
      <w:pPr>
        <w:rPr>
          <w:rFonts w:ascii="黑体" w:hAnsi="黑体" w:eastAsia="黑体"/>
          <w:szCs w:val="32"/>
        </w:rPr>
      </w:pPr>
    </w:p>
    <w:p>
      <w:pPr>
        <w:rPr>
          <w:rFonts w:ascii="黑体" w:hAnsi="黑体" w:eastAsia="黑体"/>
          <w:szCs w:val="32"/>
        </w:rPr>
      </w:pPr>
    </w:p>
    <w:p>
      <w:pPr>
        <w:spacing w:line="840" w:lineRule="exact"/>
        <w:rPr>
          <w:szCs w:val="32"/>
        </w:rPr>
      </w:pPr>
      <w:r>
        <w:rPr>
          <w:szCs w:val="32"/>
        </w:rPr>
        <w:pict>
          <v:shape id="WJBT" o:spid="_x0000_s1036" o:spt="202" type="#_x0000_t202" style="position:absolute;left:0pt;margin-top:202.65pt;height:104.85pt;width:413.85pt;mso-position-horizontal:center;mso-position-vertical-relative:page;z-index:-251655168;mso-width-relative:page;mso-height-relative:page;" filled="f" stroked="f" coordsize="21600,21600">
            <v:path/>
            <v:fill on="f" focussize="0,0"/>
            <v:stroke on="f" joinstyle="miter"/>
            <v:imagedata o:title=""/>
            <o:lock v:ext="edit"/>
            <v:textbox inset="0mm,0mm,0mm,0mm">
              <w:txbxContent>
                <w:p>
                  <w:pPr>
                    <w:spacing w:line="1240" w:lineRule="exact"/>
                    <w:jc w:val="distribute"/>
                    <w:rPr>
                      <w:rFonts w:ascii="方正小标宋简体" w:eastAsia="方正小标宋简体"/>
                      <w:color w:val="FF0000"/>
                      <w:w w:val="55"/>
                      <w:sz w:val="114"/>
                      <w:szCs w:val="114"/>
                    </w:rPr>
                  </w:pPr>
                  <w:r>
                    <w:rPr>
                      <w:rFonts w:hint="eastAsia" w:ascii="方正小标宋简体" w:hAnsi="Times New Roman" w:eastAsia="方正小标宋简体"/>
                      <w:color w:val="FF0000"/>
                      <w:w w:val="55"/>
                      <w:sz w:val="114"/>
                      <w:szCs w:val="114"/>
                    </w:rPr>
                    <w:t>江门市新会区农业农村局文件</w:t>
                  </w:r>
                </w:p>
              </w:txbxContent>
            </v:textbox>
          </v:shape>
        </w:pict>
      </w:r>
    </w:p>
    <w:p>
      <w:pPr>
        <w:tabs>
          <w:tab w:val="left" w:pos="2212"/>
        </w:tabs>
        <w:rPr>
          <w:szCs w:val="32"/>
        </w:rPr>
      </w:pPr>
    </w:p>
    <w:p>
      <w:pPr>
        <w:spacing w:line="360" w:lineRule="exact"/>
        <w:ind w:right="320" w:rightChars="100"/>
        <w:rPr>
          <w:szCs w:val="32"/>
        </w:rPr>
      </w:pPr>
    </w:p>
    <w:p>
      <w:pPr>
        <w:ind w:right="320" w:rightChars="100"/>
        <w:rPr>
          <w:szCs w:val="32"/>
        </w:rPr>
      </w:pPr>
    </w:p>
    <w:p>
      <w:pPr>
        <w:jc w:val="center"/>
        <w:rPr>
          <w:rFonts w:hint="eastAsia" w:ascii="仿宋_GB2312" w:hAnsi="仿宋_GB2312" w:eastAsia="仿宋_GB2312" w:cs="仿宋_GB2312"/>
          <w:szCs w:val="32"/>
        </w:rPr>
      </w:pPr>
      <w:r>
        <w:rPr>
          <w:rFonts w:hint="eastAsia" w:ascii="仿宋_GB2312" w:hAnsi="仿宋_GB2312" w:eastAsia="仿宋_GB2312" w:cs="仿宋_GB2312"/>
          <w:szCs w:val="32"/>
        </w:rPr>
        <w:t>新农农〔202</w:t>
      </w: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rPr>
        <w:t>〕</w:t>
      </w:r>
      <w:r>
        <w:rPr>
          <w:rFonts w:hint="eastAsia" w:ascii="仿宋_GB2312" w:hAnsi="仿宋_GB2312" w:eastAsia="仿宋_GB2312" w:cs="仿宋_GB2312"/>
          <w:szCs w:val="32"/>
          <w:lang w:val="en-US" w:eastAsia="zh-CN"/>
        </w:rPr>
        <w:t>87</w:t>
      </w:r>
      <w:r>
        <w:rPr>
          <w:rFonts w:hint="eastAsia" w:ascii="仿宋_GB2312" w:hAnsi="仿宋_GB2312" w:eastAsia="仿宋_GB2312" w:cs="仿宋_GB2312"/>
          <w:szCs w:val="32"/>
        </w:rPr>
        <w:t>号</w:t>
      </w:r>
    </w:p>
    <w:p>
      <w:pPr>
        <w:keepNext w:val="0"/>
        <w:keepLines w:val="0"/>
        <w:pageBreakBefore w:val="0"/>
        <w:widowControl w:val="0"/>
        <w:kinsoku/>
        <w:wordWrap/>
        <w:overflowPunct/>
        <w:topLinePunct w:val="0"/>
        <w:autoSpaceDE/>
        <w:autoSpaceDN/>
        <w:bidi w:val="0"/>
        <w:adjustRightInd/>
        <w:snapToGrid/>
        <w:spacing w:line="240" w:lineRule="exact"/>
        <w:textAlignment w:val="auto"/>
        <w:rPr>
          <w:szCs w:val="32"/>
        </w:rPr>
      </w:pPr>
      <w:r>
        <w:rPr>
          <w:szCs w:val="32"/>
        </w:rPr>
        <w:pict>
          <v:shape id="GWXH" o:spid="_x0000_s1035" o:spt="202" type="#_x0000_t202" style="position:absolute;left:0pt;margin-left:-0.05pt;margin-top:104.9pt;height:22.7pt;width:63pt;mso-position-vertical-relative:page;z-index:251660288;mso-width-relative:page;mso-height-relative:page;" filled="f" stroked="f" coordsize="21600,21600">
            <v:path/>
            <v:fill on="f" focussize="0,0"/>
            <v:stroke on="f" joinstyle="miter"/>
            <v:imagedata o:title=""/>
            <o:lock v:ext="edit"/>
            <v:textbox inset="0mm,0mm,0mm,0mm">
              <w:txbxContent>
                <w:p>
                  <w:pPr>
                    <w:rPr>
                      <w:rFonts w:ascii="黑体" w:hAnsi="黑体" w:eastAsia="黑体"/>
                      <w:szCs w:val="32"/>
                    </w:rPr>
                  </w:pPr>
                </w:p>
              </w:txbxContent>
            </v:textbox>
            <w10:anchorlock/>
          </v:shape>
        </w:pict>
      </w:r>
      <w:r>
        <w:rPr>
          <w:szCs w:val="32"/>
        </w:rPr>
        <w:pict>
          <v:line id="BTBX" o:spid="_x0000_s1034" o:spt="20" style="position:absolute;left:0pt;margin-left:-0.05pt;margin-top:342.45pt;height:0pt;width:442.2pt;mso-position-vertical-relative:page;z-index:251660288;mso-width-relative:page;mso-height-relative:page;" stroked="t" coordsize="21600,21600">
            <v:path arrowok="t"/>
            <v:fill focussize="0,0"/>
            <v:stroke weight="1.25pt" color="#FF0000"/>
            <v:imagedata o:title=""/>
            <o:lock v:ext="edit"/>
            <w10:anchorlock/>
          </v:line>
        </w:pict>
      </w:r>
    </w:p>
    <w:p>
      <w:pPr>
        <w:keepNext w:val="0"/>
        <w:keepLines w:val="0"/>
        <w:pageBreakBefore w:val="0"/>
        <w:widowControl w:val="0"/>
        <w:tabs>
          <w:tab w:val="left" w:pos="360"/>
          <w:tab w:val="left" w:pos="720"/>
        </w:tabs>
        <w:kinsoku/>
        <w:wordWrap/>
        <w:overflowPunct/>
        <w:topLinePunct w:val="0"/>
        <w:autoSpaceDE/>
        <w:autoSpaceDN/>
        <w:bidi w:val="0"/>
        <w:adjustRightInd/>
        <w:snapToGrid/>
        <w:spacing w:line="520" w:lineRule="exact"/>
        <w:ind w:left="0"/>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kinsoku/>
        <w:wordWrap/>
        <w:overflowPunct/>
        <w:topLinePunct w:val="0"/>
        <w:autoSpaceDE/>
        <w:autoSpaceDN/>
        <w:bidi w:val="0"/>
        <w:adjustRightInd/>
        <w:spacing w:line="600" w:lineRule="exact"/>
        <w:ind w:left="0" w:lef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关于印发《致全区农药生产、经营、使用者</w:t>
      </w:r>
    </w:p>
    <w:p>
      <w:pPr>
        <w:keepNext w:val="0"/>
        <w:keepLines w:val="0"/>
        <w:pageBreakBefore w:val="0"/>
        <w:kinsoku/>
        <w:wordWrap/>
        <w:overflowPunct/>
        <w:topLinePunct w:val="0"/>
        <w:autoSpaceDE/>
        <w:autoSpaceDN/>
        <w:bidi w:val="0"/>
        <w:adjustRightInd/>
        <w:spacing w:line="600" w:lineRule="exact"/>
        <w:ind w:left="0" w:lef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的一封信》的通知</w:t>
      </w:r>
    </w:p>
    <w:p>
      <w:pPr>
        <w:keepNext w:val="0"/>
        <w:keepLines w:val="0"/>
        <w:pageBreakBefore w:val="0"/>
        <w:kinsoku/>
        <w:wordWrap/>
        <w:overflowPunct/>
        <w:topLinePunct w:val="0"/>
        <w:autoSpaceDE/>
        <w:autoSpaceDN/>
        <w:bidi w:val="0"/>
        <w:adjustRightInd/>
        <w:spacing w:line="600" w:lineRule="exact"/>
        <w:ind w:left="0" w:leftChars="0"/>
        <w:jc w:val="left"/>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autoSpaceDE/>
        <w:autoSpaceDN/>
        <w:bidi w:val="0"/>
        <w:adjustRightInd/>
        <w:spacing w:line="600" w:lineRule="exact"/>
        <w:ind w:left="0" w:lef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各镇（街、区）政府（办事处、管委会）：</w:t>
      </w:r>
    </w:p>
    <w:p>
      <w:pPr>
        <w:keepNext w:val="0"/>
        <w:keepLines w:val="0"/>
        <w:pageBreakBefore w:val="0"/>
        <w:kinsoku/>
        <w:wordWrap/>
        <w:overflowPunct/>
        <w:topLinePunct w:val="0"/>
        <w:autoSpaceDE/>
        <w:autoSpaceDN/>
        <w:bidi w:val="0"/>
        <w:adjustRightInd/>
        <w:spacing w:line="60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贯彻落实习近平生态文明思想和绿色发展理念，推动我区农药和农产品质量安全工作，按照属地管理的原则，构建布局合理、运转高效、全程可控的农药安全利用及包装废弃物回收处理体系，全面落实农药生产者、经营者和使用者对农药安全生产使用以及农药包装废弃物回收处理主体责任，鼓励资源化利用单位、行业协会、专业化服务机构等社会各界共同参与，现将《致全区农药生产、经营、使用者的一封信》印发给你们，请于6月1日前，将该信送达到辖区各村（居）、组，农药生产者、经营者和使用者，进一步强化普法宣传，依法依规共同做好安全使用农药及回收处理农药包装废弃物等工作。同时，通过粤政易将送达回执及工作情况（含照片）报我局种植业管理股。</w:t>
      </w:r>
    </w:p>
    <w:p>
      <w:pPr>
        <w:keepNext w:val="0"/>
        <w:keepLines w:val="0"/>
        <w:pageBreakBefore w:val="0"/>
        <w:kinsoku/>
        <w:wordWrap/>
        <w:overflowPunct/>
        <w:topLinePunct w:val="0"/>
        <w:autoSpaceDE/>
        <w:autoSpaceDN/>
        <w:bidi w:val="0"/>
        <w:adjustRightInd/>
        <w:spacing w:line="600" w:lineRule="exact"/>
        <w:ind w:left="0" w:leftChars="0"/>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600" w:lineRule="exact"/>
        <w:ind w:left="1280" w:leftChars="200" w:hanging="640" w:hanging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附件：1.致全区农药生产、经营、使用者的一封信</w:t>
      </w:r>
    </w:p>
    <w:p>
      <w:pPr>
        <w:keepNext w:val="0"/>
        <w:keepLines w:val="0"/>
        <w:pageBreakBefore w:val="0"/>
        <w:kinsoku/>
        <w:wordWrap/>
        <w:overflowPunct/>
        <w:topLinePunct w:val="0"/>
        <w:autoSpaceDE/>
        <w:autoSpaceDN/>
        <w:bidi w:val="0"/>
        <w:adjustRightInd/>
        <w:spacing w:line="600" w:lineRule="exact"/>
        <w:ind w:left="320" w:leftChars="100" w:firstLine="1280" w:firstLineChars="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2.送达回执</w:t>
      </w:r>
    </w:p>
    <w:p>
      <w:pPr>
        <w:keepNext w:val="0"/>
        <w:keepLines w:val="0"/>
        <w:pageBreakBefore w:val="0"/>
        <w:kinsoku/>
        <w:wordWrap/>
        <w:overflowPunct/>
        <w:topLinePunct w:val="0"/>
        <w:autoSpaceDE/>
        <w:autoSpaceDN/>
        <w:bidi w:val="0"/>
        <w:adjustRightInd/>
        <w:spacing w:line="600" w:lineRule="exact"/>
        <w:ind w:left="0" w:leftChars="0"/>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600" w:lineRule="exact"/>
        <w:ind w:left="0" w:leftChars="0"/>
        <w:jc w:val="lef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600" w:lineRule="exact"/>
        <w:ind w:left="0" w:leftChars="0" w:firstLine="4480" w:firstLineChars="1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江门市新会区农业农村局</w:t>
      </w:r>
    </w:p>
    <w:p>
      <w:pPr>
        <w:keepNext w:val="0"/>
        <w:keepLines w:val="0"/>
        <w:pageBreakBefore w:val="0"/>
        <w:kinsoku/>
        <w:wordWrap/>
        <w:overflowPunct/>
        <w:topLinePunct w:val="0"/>
        <w:autoSpaceDE/>
        <w:autoSpaceDN/>
        <w:bidi w:val="0"/>
        <w:adjustRightInd/>
        <w:spacing w:line="600" w:lineRule="exact"/>
        <w:ind w:left="0" w:leftChars="0" w:firstLine="5120" w:firstLineChars="1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2022年5月19日</w:t>
      </w:r>
    </w:p>
    <w:p>
      <w:pPr>
        <w:keepNext w:val="0"/>
        <w:keepLines w:val="0"/>
        <w:pageBreakBefore w:val="0"/>
        <w:kinsoku/>
        <w:wordWrap/>
        <w:overflowPunct/>
        <w:topLinePunct w:val="0"/>
        <w:autoSpaceDE/>
        <w:autoSpaceDN/>
        <w:bidi w:val="0"/>
        <w:adjustRightInd/>
        <w:spacing w:line="600" w:lineRule="exact"/>
        <w:ind w:left="0" w:leftChars="0"/>
        <w:jc w:val="center"/>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600" w:lineRule="exact"/>
        <w:ind w:left="0" w:leftChars="0"/>
        <w:jc w:val="center"/>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600" w:lineRule="exact"/>
        <w:ind w:left="0" w:leftChars="0"/>
        <w:jc w:val="center"/>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600" w:lineRule="exact"/>
        <w:ind w:left="0" w:lef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（联系人：李金霞</w:t>
      </w:r>
      <w:r>
        <w:rPr>
          <w:rFonts w:hint="eastAsia" w:ascii="仿宋_GB2312" w:hAnsi="仿宋_GB2312" w:eastAsia="仿宋_GB2312" w:cs="仿宋_GB2312"/>
          <w:sz w:val="32"/>
          <w:szCs w:val="32"/>
          <w:lang w:eastAsia="zh-CN"/>
        </w:rPr>
        <w:t>、梁建兴，</w:t>
      </w:r>
      <w:r>
        <w:rPr>
          <w:rFonts w:hint="eastAsia" w:ascii="仿宋_GB2312" w:hAnsi="仿宋_GB2312" w:eastAsia="仿宋_GB2312" w:cs="仿宋_GB2312"/>
          <w:sz w:val="32"/>
          <w:szCs w:val="32"/>
        </w:rPr>
        <w:t>联系电话：6373972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800</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jc w:val="both"/>
        <w:textAlignment w:val="auto"/>
        <w:rPr>
          <w:rFonts w:hint="eastAsia" w:ascii="仿宋_GB2312" w:hAnsi="仿宋_GB2312" w:eastAsia="仿宋_GB2312" w:cs="仿宋_GB2312"/>
          <w:b w:val="0"/>
          <w:bCs w:val="0"/>
          <w:color w:val="auto"/>
          <w:kern w:val="0"/>
          <w:sz w:val="32"/>
          <w:szCs w:val="32"/>
        </w:rPr>
      </w:pP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both"/>
        <w:textAlignment w:val="auto"/>
        <w:rPr>
          <w:rFonts w:hint="eastAsia" w:ascii="方正小标宋简体" w:hAnsi="方正小标宋简体" w:eastAsia="方正小标宋简体" w:cs="方正小标宋简体"/>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both"/>
        <w:textAlignment w:val="auto"/>
        <w:rPr>
          <w:rFonts w:hint="eastAsia" w:ascii="方正小标宋简体" w:hAnsi="方正小标宋简体" w:eastAsia="方正小标宋简体" w:cs="方正小标宋简体"/>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both"/>
        <w:textAlignment w:val="auto"/>
        <w:rPr>
          <w:rFonts w:hint="eastAsia" w:ascii="方正小标宋简体" w:hAnsi="方正小标宋简体" w:eastAsia="方正小标宋简体" w:cs="方正小标宋简体"/>
          <w:b w:val="0"/>
          <w:bCs w:val="0"/>
          <w:color w:val="auto"/>
          <w:kern w:val="0"/>
          <w:sz w:val="44"/>
          <w:szCs w:val="44"/>
        </w:rPr>
      </w:pP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jc w:val="both"/>
        <w:textAlignment w:val="auto"/>
        <w:rPr>
          <w:rFonts w:hint="eastAsia" w:ascii="方正小标宋简体" w:hAnsi="方正小标宋简体" w:eastAsia="方正小标宋简体" w:cs="方正小标宋简体"/>
          <w:b w:val="0"/>
          <w:bCs w:val="0"/>
          <w:color w:val="auto"/>
          <w:kern w:val="0"/>
          <w:sz w:val="44"/>
          <w:szCs w:val="44"/>
        </w:rPr>
      </w:pPr>
    </w:p>
    <w:p>
      <w:pPr>
        <w:spacing w:line="560" w:lineRule="exact"/>
        <w:rPr>
          <w:rFonts w:hint="eastAsia" w:ascii="仿宋_GB2312" w:hAnsi="仿宋_GB2312" w:eastAsia="仿宋_GB2312" w:cs="仿宋_GB2312"/>
          <w:szCs w:val="32"/>
        </w:rPr>
      </w:pPr>
      <w:r>
        <w:rPr>
          <w:rFonts w:hint="eastAsia" w:ascii="黑体" w:hAnsi="黑体" w:eastAsia="黑体" w:cs="黑体"/>
          <w:b w:val="0"/>
          <w:bCs/>
          <w:szCs w:val="32"/>
        </w:rPr>
        <w:t>公开方式：</w:t>
      </w:r>
      <w:r>
        <w:rPr>
          <w:rFonts w:hint="eastAsia" w:ascii="仿宋_GB2312" w:hAnsi="仿宋_GB2312" w:eastAsia="仿宋_GB2312" w:cs="仿宋_GB2312"/>
          <w:szCs w:val="32"/>
          <w:lang w:val="en-US" w:eastAsia="zh-CN"/>
        </w:rPr>
        <w:t>主动</w:t>
      </w:r>
      <w:r>
        <w:rPr>
          <w:rFonts w:hint="eastAsia" w:ascii="仿宋_GB2312" w:hAnsi="仿宋_GB2312" w:eastAsia="仿宋_GB2312" w:cs="仿宋_GB2312"/>
          <w:szCs w:val="32"/>
        </w:rPr>
        <w:t>公开</w:t>
      </w:r>
    </w:p>
    <w:p>
      <w:pPr>
        <w:spacing w:line="560" w:lineRule="exact"/>
        <w:rPr>
          <w:rFonts w:hint="eastAsia" w:ascii="仿宋_GB2312" w:hAnsi="仿宋_GB2312" w:eastAsia="仿宋_GB2312" w:cs="仿宋_GB2312"/>
          <w:szCs w:val="32"/>
        </w:rPr>
      </w:pPr>
    </w:p>
    <w:p>
      <w:pPr>
        <w:pBdr>
          <w:top w:val="single" w:color="auto" w:sz="6" w:space="1"/>
          <w:bottom w:val="single" w:color="auto" w:sz="6" w:space="1"/>
        </w:pBdr>
        <w:spacing w:line="560" w:lineRule="exact"/>
        <w:rPr>
          <w:rFonts w:hint="eastAsia" w:ascii="仿宋_GB2312" w:hAnsi="仿宋_GB2312" w:eastAsia="仿宋_GB2312" w:cs="仿宋_GB2312"/>
          <w:szCs w:val="32"/>
        </w:rPr>
      </w:pPr>
      <w:r>
        <w:rPr>
          <w:rFonts w:hint="eastAsia" w:ascii="仿宋_GB2312" w:hAnsi="仿宋_GB2312" w:eastAsia="仿宋_GB2312" w:cs="仿宋_GB2312"/>
          <w:szCs w:val="32"/>
        </w:rPr>
        <w:t xml:space="preserve">江门市新会区农业农村局办公室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 xml:space="preserve"> 202</w:t>
      </w:r>
      <w:r>
        <w:rPr>
          <w:rFonts w:hint="eastAsia" w:ascii="仿宋_GB2312" w:hAnsi="仿宋_GB2312" w:eastAsia="仿宋_GB2312" w:cs="仿宋_GB2312"/>
          <w:szCs w:val="32"/>
          <w:lang w:val="en-US" w:eastAsia="zh-CN"/>
        </w:rPr>
        <w:t>2</w:t>
      </w:r>
      <w:r>
        <w:rPr>
          <w:rFonts w:hint="eastAsia" w:ascii="仿宋_GB2312" w:hAnsi="仿宋_GB2312" w:eastAsia="仿宋_GB2312" w:cs="仿宋_GB2312"/>
          <w:szCs w:val="32"/>
        </w:rPr>
        <w:t>年</w:t>
      </w:r>
      <w:r>
        <w:rPr>
          <w:rFonts w:hint="eastAsia" w:ascii="仿宋_GB2312" w:hAnsi="仿宋_GB2312" w:eastAsia="仿宋_GB2312" w:cs="仿宋_GB2312"/>
          <w:szCs w:val="32"/>
          <w:lang w:val="en-US" w:eastAsia="zh-CN"/>
        </w:rPr>
        <w:t>5</w:t>
      </w:r>
      <w:r>
        <w:rPr>
          <w:rFonts w:hint="eastAsia" w:ascii="仿宋_GB2312" w:hAnsi="仿宋_GB2312" w:eastAsia="仿宋_GB2312" w:cs="仿宋_GB2312"/>
          <w:szCs w:val="32"/>
        </w:rPr>
        <w:t>月</w:t>
      </w:r>
      <w:r>
        <w:rPr>
          <w:rFonts w:hint="eastAsia" w:ascii="仿宋_GB2312" w:hAnsi="仿宋_GB2312" w:eastAsia="仿宋_GB2312" w:cs="仿宋_GB2312"/>
          <w:szCs w:val="32"/>
          <w:lang w:val="en-US" w:eastAsia="zh-CN"/>
        </w:rPr>
        <w:t>19</w:t>
      </w:r>
      <w:r>
        <w:rPr>
          <w:rFonts w:hint="eastAsia" w:ascii="仿宋_GB2312" w:hAnsi="仿宋_GB2312" w:eastAsia="仿宋_GB2312" w:cs="仿宋_GB2312"/>
          <w:szCs w:val="32"/>
        </w:rPr>
        <w:t>日印发</w:t>
      </w:r>
    </w:p>
    <w:p>
      <w:pPr>
        <w:keepNext w:val="0"/>
        <w:keepLines w:val="0"/>
        <w:pageBreakBefore w:val="0"/>
        <w:kinsoku/>
        <w:overflowPunct/>
        <w:topLinePunct w:val="0"/>
        <w:autoSpaceDE/>
        <w:autoSpaceDN/>
        <w:bidi w:val="0"/>
        <w:adjustRightIn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keepNext w:val="0"/>
        <w:keepLines w:val="0"/>
        <w:pageBreakBefore w:val="0"/>
        <w:kinsoku/>
        <w:overflowPunct/>
        <w:topLinePunct w:val="0"/>
        <w:autoSpaceDE/>
        <w:autoSpaceDN/>
        <w:bidi w:val="0"/>
        <w:adjustRightInd/>
        <w:spacing w:beforeAutospacing="0" w:afterAutospacing="0" w:line="560" w:lineRule="exact"/>
        <w:jc w:val="left"/>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pacing w:beforeAutospacing="0" w:afterAutospacing="0"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致全区农药生产、经营、使用者的一封信</w:t>
      </w:r>
    </w:p>
    <w:p>
      <w:pPr>
        <w:keepNext w:val="0"/>
        <w:keepLines w:val="0"/>
        <w:pageBreakBefore w:val="0"/>
        <w:kinsoku/>
        <w:overflowPunct/>
        <w:topLinePunct w:val="0"/>
        <w:autoSpaceDE/>
        <w:autoSpaceDN/>
        <w:bidi w:val="0"/>
        <w:adjustRightInd/>
        <w:spacing w:beforeAutospacing="0" w:afterAutospacing="0" w:line="560" w:lineRule="exact"/>
        <w:jc w:val="center"/>
        <w:textAlignment w:val="auto"/>
        <w:rPr>
          <w:rFonts w:hint="eastAsia" w:ascii="仿宋_GB2312" w:hAnsi="仿宋_GB2312" w:eastAsia="仿宋_GB2312" w:cs="仿宋_GB2312"/>
          <w:b/>
          <w:bCs/>
          <w:sz w:val="32"/>
          <w:szCs w:val="32"/>
        </w:rPr>
      </w:pPr>
    </w:p>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新会区全体农药生产者、经营者和使用者：</w:t>
      </w:r>
    </w:p>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农药是重要的农业投入品，为进一步宣传普及和提高农药依法安全使用、农药包装废弃物回收意识，促进农业生产，保护农村生态环境，确保农产品质量安全，保障公众健康，根据国家法律、行政法规，特</w:t>
      </w:r>
      <w:r>
        <w:rPr>
          <w:rFonts w:hint="eastAsia" w:ascii="仿宋_GB2312" w:hAnsi="仿宋_GB2312" w:eastAsia="仿宋_GB2312" w:cs="仿宋_GB2312"/>
          <w:sz w:val="32"/>
          <w:szCs w:val="32"/>
          <w:lang w:eastAsia="zh-CN"/>
        </w:rPr>
        <w:t>做如下</w:t>
      </w:r>
      <w:r>
        <w:rPr>
          <w:rFonts w:hint="eastAsia" w:ascii="仿宋_GB2312" w:hAnsi="仿宋_GB2312" w:eastAsia="仿宋_GB2312" w:cs="仿宋_GB2312"/>
          <w:sz w:val="32"/>
          <w:szCs w:val="32"/>
        </w:rPr>
        <w:t>告知：</w:t>
      </w:r>
    </w:p>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一、《农药管理条例》有关规定：</w:t>
      </w:r>
    </w:p>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本条例所称农药，是指用于预防、控制危害农业、林业的病、虫、草、鼠和其他有害生物以及有目的地调节植物、昆虫生长的化学合成或者来源于生物、其他天然物质的一种物质或者几种物质的混合物及其制剂。</w:t>
      </w:r>
    </w:p>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第三十三条　农药使用者应当遵守国家有关农药安全、合理使用制度，妥善保管农药，并在配药、用药过程中采取必要的防护措施，避免发生农药使用事故。</w:t>
      </w:r>
    </w:p>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第三十四条　农药使用者应当严格按照农药的标签标注的使用范围、使用方法和剂量、使用技术要求和注意事项使用农药，不得扩大使用范围、加大用药剂量或者改变使用方法。</w:t>
      </w:r>
    </w:p>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农药使用者不得使用禁用的农药。</w:t>
      </w:r>
    </w:p>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标签标注安全间隔期的农药，在农产品收获前应当按照安全间隔期的要求停止使用。</w:t>
      </w:r>
    </w:p>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剧毒、高毒农药不得用于防治卫生害虫，不得用于蔬菜、瓜果、茶叶、菌类、中草药材的生产，不得用于水生植物的病虫害防治。</w:t>
      </w:r>
    </w:p>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第三十五条　农药使用者应当保护环境，保护有益生物和珍稀物种，不得在饮用水水源保护区、河道内丢弃农药、农药包装物或者清洗施药器械。</w:t>
      </w:r>
    </w:p>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严禁在饮用水水源保护区内使用农药，严禁使用农药毒鱼、虾、鸟、兽等。</w:t>
      </w:r>
    </w:p>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第三十六条　农产品生产企业、食品和食用农产品仓储企业、专业化病虫害防治服务组织和从事农产品生产的农民专业合作社等应当建立农药使用记录，如实记录使用农药的时间、地点、对象以及农药名称、用量、生产企业等。农药使用记录应当保存2年以上。</w:t>
      </w:r>
    </w:p>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国家鼓励其他农药使用者建立农药使用记录。</w:t>
      </w:r>
    </w:p>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第三十七条　国家鼓励农药使用者妥善收集农药包装物等废弃物；农药生产企业、农药经营者应当回收农药废弃物，防止农药污染环境和农药中毒事故的发生。</w:t>
      </w:r>
    </w:p>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第三十八条　发生农药使用事故，农药使用者、农药生产企业、农药经营者和其他有关人员应当及时报告当地农业主管部门。</w:t>
      </w:r>
    </w:p>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第六十条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w:t>
      </w:r>
    </w:p>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不按照农药的标签标注的使用范围、使用方法和剂量、使用技术要求和注意事项、安全间隔期使用农药；（二）使用禁用的农药；（三）将剧毒、高毒农药用于防治卫生害虫，用于蔬菜、瓜果、茶叶、菌类、中草药材生产或者用于水生植物的病虫害防治；（四）在饮用水水源保护区内使用农药；（五）使用农药毒鱼、虾、鸟、兽等；（六）在饮用水水源保护区、河道内丢弃农药、农药包装物或者清洗施药器械。</w:t>
      </w:r>
    </w:p>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二、国家禁限制农药名录</w:t>
      </w:r>
    </w:p>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楷体_GB2312" w:hAnsi="楷体_GB2312" w:eastAsia="楷体_GB2312" w:cs="楷体_GB2312"/>
          <w:b w:val="0"/>
          <w:bCs w:val="0"/>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val="0"/>
          <w:bCs w:val="0"/>
          <w:sz w:val="32"/>
          <w:szCs w:val="32"/>
        </w:rPr>
        <w:t>（一）禁止（停止）使用的农药</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46种</w:t>
      </w:r>
      <w:r>
        <w:rPr>
          <w:rFonts w:hint="eastAsia" w:ascii="楷体_GB2312" w:hAnsi="楷体_GB2312" w:eastAsia="楷体_GB2312" w:cs="楷体_GB2312"/>
          <w:b w:val="0"/>
          <w:bCs w:val="0"/>
          <w:sz w:val="32"/>
          <w:szCs w:val="32"/>
          <w:lang w:eastAsia="zh-CN"/>
        </w:rPr>
        <w:t>）</w:t>
      </w:r>
    </w:p>
    <w:p>
      <w:pPr>
        <w:keepNext w:val="0"/>
        <w:keepLines w:val="0"/>
        <w:pageBreakBefore w:val="0"/>
        <w:kinsoku/>
        <w:overflowPunct/>
        <w:topLinePunct w:val="0"/>
        <w:autoSpaceDE/>
        <w:autoSpaceDN/>
        <w:bidi w:val="0"/>
        <w:adjustRightInd/>
        <w:snapToGrid w:val="0"/>
        <w:spacing w:beforeAutospacing="0" w:afterAutospacing="0"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六六、滴滴涕、毒杀芬、二溴氯丙烷、杀虫脒、二溴乙烷、除草醚、艾氏剂、狄氏剂、汞制剂、砷类、铅类、敌枯双、氟乙酰胺、甘氟、毒鼠强、氟乙酸钠、毒鼠硅，甲胺磷、对硫磷、甲基对硫磷、久效磷、磷胺、苯线磷、地虫硫磷、甲基硫环磷、磷化钙、磷化镁、磷化锌、硫线磷、蝇毒磷、治螟磷、特丁硫磷、氯磺隆、胺苯磺隆、甲磺隆、福美胂、福美甲胂、三氯杀螨醇、林丹、硫丹、溴甲烷、氯虫胺、杀朴磷、百草枯、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滴丁酯。 </w:t>
      </w:r>
    </w:p>
    <w:p>
      <w:pPr>
        <w:keepNext w:val="0"/>
        <w:keepLines w:val="0"/>
        <w:pageBreakBefore w:val="0"/>
        <w:kinsoku/>
        <w:overflowPunct/>
        <w:topLinePunct w:val="0"/>
        <w:autoSpaceDE/>
        <w:autoSpaceDN/>
        <w:bidi w:val="0"/>
        <w:adjustRightInd/>
        <w:spacing w:beforeAutospacing="0" w:afterAutospacing="0"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（二）在部分范围内限制使用的农药（20种）</w:t>
      </w:r>
    </w:p>
    <w:tbl>
      <w:tblPr>
        <w:tblStyle w:val="12"/>
        <w:tblW w:w="921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4525"/>
        <w:gridCol w:w="468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456" w:type="pc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top"/>
          </w:tcPr>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520" w:lineRule="exact"/>
              <w:textAlignment w:val="auto"/>
              <w:rPr>
                <w:rFonts w:hint="eastAsia" w:ascii="仿宋_GB2312" w:hAnsi="仿宋_GB2312" w:eastAsia="仿宋_GB2312" w:cs="仿宋_GB2312"/>
                <w:color w:val="0C0C0C" w:themeColor="text1" w:themeTint="F2"/>
                <w:sz w:val="28"/>
                <w:szCs w:val="28"/>
              </w:rPr>
            </w:pPr>
            <w:r>
              <w:rPr>
                <w:rFonts w:hint="eastAsia" w:ascii="仿宋_GB2312" w:hAnsi="仿宋_GB2312" w:eastAsia="仿宋_GB2312" w:cs="仿宋_GB2312"/>
                <w:color w:val="0C0C0C" w:themeColor="text1" w:themeTint="F2"/>
                <w:sz w:val="28"/>
                <w:szCs w:val="28"/>
              </w:rPr>
              <w:t>通用名</w:t>
            </w:r>
          </w:p>
        </w:tc>
        <w:tc>
          <w:tcPr>
            <w:tcW w:w="2543" w:type="pc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top"/>
          </w:tcPr>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520" w:lineRule="exact"/>
              <w:textAlignment w:val="auto"/>
              <w:rPr>
                <w:rFonts w:hint="eastAsia" w:ascii="仿宋_GB2312" w:hAnsi="仿宋_GB2312" w:eastAsia="仿宋_GB2312" w:cs="仿宋_GB2312"/>
                <w:color w:val="0C0C0C" w:themeColor="text1" w:themeTint="F2"/>
                <w:sz w:val="28"/>
                <w:szCs w:val="28"/>
              </w:rPr>
            </w:pPr>
            <w:r>
              <w:rPr>
                <w:rFonts w:hint="eastAsia" w:ascii="仿宋_GB2312" w:hAnsi="仿宋_GB2312" w:eastAsia="仿宋_GB2312" w:cs="仿宋_GB2312"/>
                <w:color w:val="0C0C0C" w:themeColor="text1" w:themeTint="F2"/>
                <w:sz w:val="28"/>
                <w:szCs w:val="28"/>
              </w:rPr>
              <w:t>禁止使用范围</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456" w:type="pc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520" w:lineRule="exact"/>
              <w:textAlignment w:val="auto"/>
              <w:rPr>
                <w:rFonts w:hint="eastAsia" w:ascii="仿宋_GB2312" w:hAnsi="仿宋_GB2312" w:eastAsia="仿宋_GB2312" w:cs="仿宋_GB2312"/>
                <w:color w:val="0C0C0C" w:themeColor="text1" w:themeTint="F2"/>
                <w:sz w:val="28"/>
                <w:szCs w:val="28"/>
              </w:rPr>
            </w:pPr>
            <w:r>
              <w:rPr>
                <w:rFonts w:hint="eastAsia" w:ascii="仿宋_GB2312" w:hAnsi="仿宋_GB2312" w:eastAsia="仿宋_GB2312" w:cs="仿宋_GB2312"/>
                <w:color w:val="0C0C0C" w:themeColor="text1" w:themeTint="F2"/>
                <w:sz w:val="28"/>
                <w:szCs w:val="28"/>
              </w:rPr>
              <w:t>甲拌磷、甲基异柳磷、克百威、水胺硫磷、氧乐果、灭多威、涕灭威、灭线磷</w:t>
            </w:r>
          </w:p>
        </w:tc>
        <w:tc>
          <w:tcPr>
            <w:tcW w:w="2543" w:type="pc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520" w:lineRule="exact"/>
              <w:textAlignment w:val="auto"/>
              <w:rPr>
                <w:rFonts w:hint="eastAsia" w:ascii="仿宋_GB2312" w:hAnsi="仿宋_GB2312" w:eastAsia="仿宋_GB2312" w:cs="仿宋_GB2312"/>
                <w:color w:val="0C0C0C" w:themeColor="text1" w:themeTint="F2"/>
                <w:sz w:val="28"/>
                <w:szCs w:val="28"/>
              </w:rPr>
            </w:pPr>
            <w:r>
              <w:rPr>
                <w:rFonts w:hint="eastAsia" w:ascii="仿宋_GB2312" w:hAnsi="仿宋_GB2312" w:eastAsia="仿宋_GB2312" w:cs="仿宋_GB2312"/>
                <w:color w:val="0C0C0C" w:themeColor="text1" w:themeTint="F2"/>
                <w:sz w:val="28"/>
                <w:szCs w:val="28"/>
              </w:rPr>
              <w:t>禁止在蔬菜、瓜果、茶叶、菌类、中草药材上使用，禁止用于防治卫生害虫，禁止用于水生植物的病虫害防治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456" w:type="pc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520" w:lineRule="exact"/>
              <w:textAlignment w:val="auto"/>
              <w:rPr>
                <w:rFonts w:hint="eastAsia" w:ascii="仿宋_GB2312" w:hAnsi="仿宋_GB2312" w:eastAsia="仿宋_GB2312" w:cs="仿宋_GB2312"/>
                <w:color w:val="0C0C0C" w:themeColor="text1" w:themeTint="F2"/>
                <w:sz w:val="28"/>
                <w:szCs w:val="28"/>
              </w:rPr>
            </w:pPr>
            <w:r>
              <w:rPr>
                <w:rFonts w:hint="eastAsia" w:ascii="仿宋_GB2312" w:hAnsi="仿宋_GB2312" w:eastAsia="仿宋_GB2312" w:cs="仿宋_GB2312"/>
                <w:color w:val="0C0C0C" w:themeColor="text1" w:themeTint="F2"/>
                <w:sz w:val="28"/>
                <w:szCs w:val="28"/>
              </w:rPr>
              <w:t xml:space="preserve">甲拌磷、甲基异柳磷、克百威 </w:t>
            </w:r>
          </w:p>
        </w:tc>
        <w:tc>
          <w:tcPr>
            <w:tcW w:w="2543" w:type="pc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520" w:lineRule="exact"/>
              <w:textAlignment w:val="auto"/>
              <w:rPr>
                <w:rFonts w:hint="eastAsia" w:ascii="仿宋_GB2312" w:hAnsi="仿宋_GB2312" w:eastAsia="仿宋_GB2312" w:cs="仿宋_GB2312"/>
                <w:color w:val="0C0C0C" w:themeColor="text1" w:themeTint="F2"/>
                <w:sz w:val="28"/>
                <w:szCs w:val="28"/>
              </w:rPr>
            </w:pPr>
            <w:r>
              <w:rPr>
                <w:rFonts w:hint="eastAsia" w:ascii="仿宋_GB2312" w:hAnsi="仿宋_GB2312" w:eastAsia="仿宋_GB2312" w:cs="仿宋_GB2312"/>
                <w:color w:val="0C0C0C" w:themeColor="text1" w:themeTint="F2"/>
                <w:sz w:val="28"/>
                <w:szCs w:val="28"/>
              </w:rPr>
              <w:t xml:space="preserve">禁止在甘蔗作物上使用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456" w:type="pc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520" w:lineRule="exact"/>
              <w:textAlignment w:val="auto"/>
              <w:rPr>
                <w:rFonts w:hint="eastAsia" w:ascii="仿宋_GB2312" w:hAnsi="仿宋_GB2312" w:eastAsia="仿宋_GB2312" w:cs="仿宋_GB2312"/>
                <w:color w:val="0C0C0C" w:themeColor="text1" w:themeTint="F2"/>
                <w:sz w:val="28"/>
                <w:szCs w:val="28"/>
              </w:rPr>
            </w:pPr>
            <w:r>
              <w:rPr>
                <w:rFonts w:hint="eastAsia" w:ascii="仿宋_GB2312" w:hAnsi="仿宋_GB2312" w:eastAsia="仿宋_GB2312" w:cs="仿宋_GB2312"/>
                <w:color w:val="0C0C0C" w:themeColor="text1" w:themeTint="F2"/>
                <w:sz w:val="28"/>
                <w:szCs w:val="28"/>
              </w:rPr>
              <w:t xml:space="preserve">内吸磷、硫环磷、氯唑磷 </w:t>
            </w:r>
          </w:p>
        </w:tc>
        <w:tc>
          <w:tcPr>
            <w:tcW w:w="2543" w:type="pc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520" w:lineRule="exact"/>
              <w:textAlignment w:val="auto"/>
              <w:rPr>
                <w:rFonts w:hint="eastAsia" w:ascii="仿宋_GB2312" w:hAnsi="仿宋_GB2312" w:eastAsia="仿宋_GB2312" w:cs="仿宋_GB2312"/>
                <w:color w:val="0C0C0C" w:themeColor="text1" w:themeTint="F2"/>
                <w:sz w:val="28"/>
                <w:szCs w:val="28"/>
              </w:rPr>
            </w:pPr>
            <w:r>
              <w:rPr>
                <w:rFonts w:hint="eastAsia" w:ascii="仿宋_GB2312" w:hAnsi="仿宋_GB2312" w:eastAsia="仿宋_GB2312" w:cs="仿宋_GB2312"/>
                <w:color w:val="0C0C0C" w:themeColor="text1" w:themeTint="F2"/>
                <w:sz w:val="28"/>
                <w:szCs w:val="28"/>
              </w:rPr>
              <w:t>禁止在蔬菜、瓜果、茶叶、中草药材上使用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456" w:type="pc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520" w:lineRule="exact"/>
              <w:textAlignment w:val="auto"/>
              <w:rPr>
                <w:rFonts w:hint="eastAsia" w:ascii="仿宋_GB2312" w:hAnsi="仿宋_GB2312" w:eastAsia="仿宋_GB2312" w:cs="仿宋_GB2312"/>
                <w:color w:val="0C0C0C" w:themeColor="text1" w:themeTint="F2"/>
                <w:sz w:val="28"/>
                <w:szCs w:val="28"/>
              </w:rPr>
            </w:pPr>
            <w:r>
              <w:rPr>
                <w:rFonts w:hint="eastAsia" w:ascii="仿宋_GB2312" w:hAnsi="仿宋_GB2312" w:eastAsia="仿宋_GB2312" w:cs="仿宋_GB2312"/>
                <w:color w:val="0C0C0C" w:themeColor="text1" w:themeTint="F2"/>
                <w:sz w:val="28"/>
                <w:szCs w:val="28"/>
              </w:rPr>
              <w:t xml:space="preserve">乙酰甲胺磷、丁硫克百威、乐果 </w:t>
            </w:r>
          </w:p>
        </w:tc>
        <w:tc>
          <w:tcPr>
            <w:tcW w:w="2543" w:type="pc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520" w:lineRule="exact"/>
              <w:textAlignment w:val="auto"/>
              <w:rPr>
                <w:rFonts w:hint="eastAsia" w:ascii="仿宋_GB2312" w:hAnsi="仿宋_GB2312" w:eastAsia="仿宋_GB2312" w:cs="仿宋_GB2312"/>
                <w:color w:val="0C0C0C" w:themeColor="text1" w:themeTint="F2"/>
                <w:sz w:val="28"/>
                <w:szCs w:val="28"/>
              </w:rPr>
            </w:pPr>
            <w:r>
              <w:rPr>
                <w:rFonts w:hint="eastAsia" w:ascii="仿宋_GB2312" w:hAnsi="仿宋_GB2312" w:eastAsia="仿宋_GB2312" w:cs="仿宋_GB2312"/>
                <w:color w:val="0C0C0C" w:themeColor="text1" w:themeTint="F2"/>
                <w:sz w:val="28"/>
                <w:szCs w:val="28"/>
              </w:rPr>
              <w:t xml:space="preserve">禁止在蔬菜、瓜果、茶叶、菌类和中草药材上使用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456" w:type="pc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520" w:lineRule="exact"/>
              <w:textAlignment w:val="auto"/>
              <w:rPr>
                <w:rFonts w:hint="eastAsia" w:ascii="仿宋_GB2312" w:hAnsi="仿宋_GB2312" w:eastAsia="仿宋_GB2312" w:cs="仿宋_GB2312"/>
                <w:color w:val="0C0C0C" w:themeColor="text1" w:themeTint="F2"/>
                <w:sz w:val="28"/>
                <w:szCs w:val="28"/>
              </w:rPr>
            </w:pPr>
            <w:r>
              <w:rPr>
                <w:rFonts w:hint="eastAsia" w:ascii="仿宋_GB2312" w:hAnsi="仿宋_GB2312" w:eastAsia="仿宋_GB2312" w:cs="仿宋_GB2312"/>
                <w:color w:val="0C0C0C" w:themeColor="text1" w:themeTint="F2"/>
                <w:sz w:val="28"/>
                <w:szCs w:val="28"/>
              </w:rPr>
              <w:t xml:space="preserve">毒死蜱、三唑磷 </w:t>
            </w:r>
          </w:p>
        </w:tc>
        <w:tc>
          <w:tcPr>
            <w:tcW w:w="2543" w:type="pc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520" w:lineRule="exact"/>
              <w:textAlignment w:val="auto"/>
              <w:rPr>
                <w:rFonts w:hint="eastAsia" w:ascii="仿宋_GB2312" w:hAnsi="仿宋_GB2312" w:eastAsia="仿宋_GB2312" w:cs="仿宋_GB2312"/>
                <w:color w:val="0C0C0C" w:themeColor="text1" w:themeTint="F2"/>
                <w:sz w:val="28"/>
                <w:szCs w:val="28"/>
              </w:rPr>
            </w:pPr>
            <w:r>
              <w:rPr>
                <w:rFonts w:hint="eastAsia" w:ascii="仿宋_GB2312" w:hAnsi="仿宋_GB2312" w:eastAsia="仿宋_GB2312" w:cs="仿宋_GB2312"/>
                <w:color w:val="0C0C0C" w:themeColor="text1" w:themeTint="F2"/>
                <w:sz w:val="28"/>
                <w:szCs w:val="28"/>
              </w:rPr>
              <w:t xml:space="preserve">禁止在蔬菜上使用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456" w:type="pc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520" w:lineRule="exact"/>
              <w:textAlignment w:val="auto"/>
              <w:rPr>
                <w:rFonts w:hint="eastAsia" w:ascii="仿宋_GB2312" w:hAnsi="仿宋_GB2312" w:eastAsia="仿宋_GB2312" w:cs="仿宋_GB2312"/>
                <w:color w:val="0C0C0C" w:themeColor="text1" w:themeTint="F2"/>
                <w:sz w:val="28"/>
                <w:szCs w:val="28"/>
              </w:rPr>
            </w:pPr>
            <w:r>
              <w:rPr>
                <w:rFonts w:hint="eastAsia" w:ascii="仿宋_GB2312" w:hAnsi="仿宋_GB2312" w:eastAsia="仿宋_GB2312" w:cs="仿宋_GB2312"/>
                <w:color w:val="0C0C0C" w:themeColor="text1" w:themeTint="F2"/>
                <w:sz w:val="28"/>
                <w:szCs w:val="28"/>
              </w:rPr>
              <w:t xml:space="preserve">丁酰肼（比久） </w:t>
            </w:r>
          </w:p>
        </w:tc>
        <w:tc>
          <w:tcPr>
            <w:tcW w:w="2543" w:type="pc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520" w:lineRule="exact"/>
              <w:textAlignment w:val="auto"/>
              <w:rPr>
                <w:rFonts w:hint="eastAsia" w:ascii="仿宋_GB2312" w:hAnsi="仿宋_GB2312" w:eastAsia="仿宋_GB2312" w:cs="仿宋_GB2312"/>
                <w:color w:val="0C0C0C" w:themeColor="text1" w:themeTint="F2"/>
                <w:sz w:val="28"/>
                <w:szCs w:val="28"/>
              </w:rPr>
            </w:pPr>
            <w:r>
              <w:rPr>
                <w:rFonts w:hint="eastAsia" w:ascii="仿宋_GB2312" w:hAnsi="仿宋_GB2312" w:eastAsia="仿宋_GB2312" w:cs="仿宋_GB2312"/>
                <w:color w:val="0C0C0C" w:themeColor="text1" w:themeTint="F2"/>
                <w:sz w:val="28"/>
                <w:szCs w:val="28"/>
              </w:rPr>
              <w:t xml:space="preserve">禁止在花生上使用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456" w:type="pc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520" w:lineRule="exact"/>
              <w:textAlignment w:val="auto"/>
              <w:rPr>
                <w:rFonts w:hint="eastAsia" w:ascii="仿宋_GB2312" w:hAnsi="仿宋_GB2312" w:eastAsia="仿宋_GB2312" w:cs="仿宋_GB2312"/>
                <w:color w:val="0C0C0C" w:themeColor="text1" w:themeTint="F2"/>
                <w:sz w:val="28"/>
                <w:szCs w:val="28"/>
              </w:rPr>
            </w:pPr>
            <w:r>
              <w:rPr>
                <w:rFonts w:hint="eastAsia" w:ascii="仿宋_GB2312" w:hAnsi="仿宋_GB2312" w:eastAsia="仿宋_GB2312" w:cs="仿宋_GB2312"/>
                <w:color w:val="0C0C0C" w:themeColor="text1" w:themeTint="F2"/>
                <w:sz w:val="28"/>
                <w:szCs w:val="28"/>
              </w:rPr>
              <w:t xml:space="preserve">氰戊菊酯 </w:t>
            </w:r>
          </w:p>
        </w:tc>
        <w:tc>
          <w:tcPr>
            <w:tcW w:w="2543" w:type="pc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520" w:lineRule="exact"/>
              <w:textAlignment w:val="auto"/>
              <w:rPr>
                <w:rFonts w:hint="eastAsia" w:ascii="仿宋_GB2312" w:hAnsi="仿宋_GB2312" w:eastAsia="仿宋_GB2312" w:cs="仿宋_GB2312"/>
                <w:color w:val="0C0C0C" w:themeColor="text1" w:themeTint="F2"/>
                <w:sz w:val="28"/>
                <w:szCs w:val="28"/>
              </w:rPr>
            </w:pPr>
            <w:r>
              <w:rPr>
                <w:rFonts w:hint="eastAsia" w:ascii="仿宋_GB2312" w:hAnsi="仿宋_GB2312" w:eastAsia="仿宋_GB2312" w:cs="仿宋_GB2312"/>
                <w:color w:val="0C0C0C" w:themeColor="text1" w:themeTint="F2"/>
                <w:sz w:val="28"/>
                <w:szCs w:val="28"/>
              </w:rPr>
              <w:t xml:space="preserve">禁止在茶叶上使用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456" w:type="pc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520" w:lineRule="exact"/>
              <w:textAlignment w:val="auto"/>
              <w:rPr>
                <w:rFonts w:hint="eastAsia" w:ascii="仿宋_GB2312" w:hAnsi="仿宋_GB2312" w:eastAsia="仿宋_GB2312" w:cs="仿宋_GB2312"/>
                <w:color w:val="0C0C0C" w:themeColor="text1" w:themeTint="F2"/>
                <w:sz w:val="28"/>
                <w:szCs w:val="28"/>
              </w:rPr>
            </w:pPr>
            <w:r>
              <w:rPr>
                <w:rFonts w:hint="eastAsia" w:ascii="仿宋_GB2312" w:hAnsi="仿宋_GB2312" w:eastAsia="仿宋_GB2312" w:cs="仿宋_GB2312"/>
                <w:color w:val="0C0C0C" w:themeColor="text1" w:themeTint="F2"/>
                <w:sz w:val="28"/>
                <w:szCs w:val="28"/>
              </w:rPr>
              <w:t xml:space="preserve">氟虫腈 </w:t>
            </w:r>
          </w:p>
        </w:tc>
        <w:tc>
          <w:tcPr>
            <w:tcW w:w="2543" w:type="pc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520" w:lineRule="exact"/>
              <w:textAlignment w:val="auto"/>
              <w:rPr>
                <w:rFonts w:hint="eastAsia" w:ascii="仿宋_GB2312" w:hAnsi="仿宋_GB2312" w:eastAsia="仿宋_GB2312" w:cs="仿宋_GB2312"/>
                <w:color w:val="0C0C0C" w:themeColor="text1" w:themeTint="F2"/>
                <w:sz w:val="28"/>
                <w:szCs w:val="28"/>
              </w:rPr>
            </w:pPr>
            <w:r>
              <w:rPr>
                <w:rFonts w:hint="eastAsia" w:ascii="仿宋_GB2312" w:hAnsi="仿宋_GB2312" w:eastAsia="仿宋_GB2312" w:cs="仿宋_GB2312"/>
                <w:color w:val="0C0C0C" w:themeColor="text1" w:themeTint="F2"/>
                <w:sz w:val="28"/>
                <w:szCs w:val="28"/>
              </w:rPr>
              <w:t xml:space="preserve">禁止在所有农作物上使用（玉米等部分旱田种子包衣除外）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2456" w:type="pc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520" w:lineRule="exact"/>
              <w:textAlignment w:val="auto"/>
              <w:rPr>
                <w:rFonts w:hint="eastAsia" w:ascii="仿宋_GB2312" w:hAnsi="仿宋_GB2312" w:eastAsia="仿宋_GB2312" w:cs="仿宋_GB2312"/>
                <w:color w:val="0C0C0C" w:themeColor="text1" w:themeTint="F2"/>
                <w:sz w:val="28"/>
                <w:szCs w:val="28"/>
              </w:rPr>
            </w:pPr>
            <w:r>
              <w:rPr>
                <w:rFonts w:hint="eastAsia" w:ascii="仿宋_GB2312" w:hAnsi="仿宋_GB2312" w:eastAsia="仿宋_GB2312" w:cs="仿宋_GB2312"/>
                <w:color w:val="0C0C0C" w:themeColor="text1" w:themeTint="F2"/>
                <w:sz w:val="28"/>
                <w:szCs w:val="28"/>
              </w:rPr>
              <w:t xml:space="preserve">氟苯虫酰胺 </w:t>
            </w:r>
          </w:p>
        </w:tc>
        <w:tc>
          <w:tcPr>
            <w:tcW w:w="2543" w:type="pct"/>
            <w:tcBorders>
              <w:top w:val="single" w:color="000000" w:sz="6" w:space="0"/>
              <w:left w:val="single" w:color="000000" w:sz="6" w:space="0"/>
              <w:bottom w:val="single" w:color="000000" w:sz="6" w:space="0"/>
              <w:right w:val="single" w:color="000000" w:sz="6" w:space="0"/>
            </w:tcBorders>
            <w:noWrap w:val="0"/>
            <w:tcMar>
              <w:top w:w="75" w:type="dxa"/>
              <w:left w:w="150" w:type="dxa"/>
              <w:bottom w:w="75" w:type="dxa"/>
              <w:right w:w="150" w:type="dxa"/>
            </w:tcMar>
            <w:vAlign w:val="center"/>
          </w:tcPr>
          <w:p>
            <w:pPr>
              <w:pStyle w:val="10"/>
              <w:keepNext w:val="0"/>
              <w:keepLines w:val="0"/>
              <w:pageBreakBefore w:val="0"/>
              <w:widowControl/>
              <w:kinsoku/>
              <w:wordWrap w:val="0"/>
              <w:overflowPunct/>
              <w:topLinePunct w:val="0"/>
              <w:autoSpaceDE/>
              <w:autoSpaceDN/>
              <w:bidi w:val="0"/>
              <w:adjustRightInd/>
              <w:snapToGrid/>
              <w:spacing w:before="0" w:beforeAutospacing="0" w:after="0" w:afterAutospacing="0" w:line="520" w:lineRule="exact"/>
              <w:textAlignment w:val="auto"/>
              <w:rPr>
                <w:rFonts w:hint="eastAsia" w:ascii="仿宋_GB2312" w:hAnsi="仿宋_GB2312" w:eastAsia="仿宋_GB2312" w:cs="仿宋_GB2312"/>
                <w:color w:val="0C0C0C" w:themeColor="text1" w:themeTint="F2"/>
                <w:sz w:val="28"/>
                <w:szCs w:val="28"/>
              </w:rPr>
            </w:pPr>
            <w:r>
              <w:rPr>
                <w:rFonts w:hint="eastAsia" w:ascii="仿宋_GB2312" w:hAnsi="仿宋_GB2312" w:eastAsia="仿宋_GB2312" w:cs="仿宋_GB2312"/>
                <w:color w:val="0C0C0C" w:themeColor="text1" w:themeTint="F2"/>
                <w:sz w:val="28"/>
                <w:szCs w:val="28"/>
              </w:rPr>
              <w:t xml:space="preserve"> 禁止在水稻上使用 </w:t>
            </w:r>
          </w:p>
        </w:tc>
      </w:tr>
    </w:tbl>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注：限制使用农药实名购买。</w:t>
      </w:r>
    </w:p>
    <w:p>
      <w:pPr>
        <w:keepNext w:val="0"/>
        <w:keepLines w:val="0"/>
        <w:pageBreakBefore w:val="0"/>
        <w:kinsoku/>
        <w:overflowPunct/>
        <w:topLinePunct w:val="0"/>
        <w:autoSpaceDE/>
        <w:autoSpaceDN/>
        <w:bidi w:val="0"/>
        <w:adjustRightInd/>
        <w:spacing w:beforeAutospacing="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三、《农药包装废弃物回收处理管理办法》有关规定：</w:t>
      </w:r>
    </w:p>
    <w:p>
      <w:pPr>
        <w:keepNext w:val="0"/>
        <w:keepLines w:val="0"/>
        <w:pageBreakBefore w:val="0"/>
        <w:kinsoku/>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本办法所称农药包装废弃物，是指农药使用后被废弃的与农药直接接触或含有农药残余物的包装物，包括瓶、罐、桶、袋等。</w:t>
      </w:r>
    </w:p>
    <w:p>
      <w:pPr>
        <w:keepNext w:val="0"/>
        <w:keepLines w:val="0"/>
        <w:pageBreakBefore w:val="0"/>
        <w:kinsoku/>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农药生产者（含向中国出口农药的企业）、经营者和使用者应当积极履行农药包装废弃物回收处理义务，及时回收农药包装废弃物并进行处理。 </w:t>
      </w:r>
    </w:p>
    <w:p>
      <w:pPr>
        <w:keepNext w:val="0"/>
        <w:keepLines w:val="0"/>
        <w:pageBreakBefore w:val="0"/>
        <w:kinsoku/>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国家鼓励和支持行业协会在农药包装废弃物回收处理中发挥组织协调、技术指导、提供服务等作用，鼓励和扶持专业化服务机构开展农药包装废弃物回收处理。</w:t>
      </w:r>
    </w:p>
    <w:p>
      <w:pPr>
        <w:keepNext w:val="0"/>
        <w:keepLines w:val="0"/>
        <w:pageBreakBefore w:val="0"/>
        <w:kinsoku/>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农药生产者、经营者应当按照“谁生产、经营，谁回收”的原则，履行相应的农药包装废弃物回收义务。农药生产者、经营者可以协商确定农药包装废弃物回收义务的具体履行方式。 </w:t>
      </w:r>
    </w:p>
    <w:p>
      <w:pPr>
        <w:keepNext w:val="0"/>
        <w:keepLines w:val="0"/>
        <w:pageBreakBefore w:val="0"/>
        <w:kinsoku/>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农药经营者应当在其经营场所设立农药包装废弃物回收装置，不得拒收其销售农药的包装废弃物。</w:t>
      </w:r>
    </w:p>
    <w:p>
      <w:pPr>
        <w:keepNext w:val="0"/>
        <w:keepLines w:val="0"/>
        <w:pageBreakBefore w:val="0"/>
        <w:kinsoku/>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农药生产者、经营者应当采取有效措施，引导农药使用者及时交回农药包装废弃物。</w:t>
      </w:r>
    </w:p>
    <w:p>
      <w:pPr>
        <w:keepNext w:val="0"/>
        <w:keepLines w:val="0"/>
        <w:pageBreakBefore w:val="0"/>
        <w:kinsoku/>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农药使用者应当及时收集农药包装废弃物并交回农药经营者或农药包装废弃物回收站（点），不得随意丢弃。</w:t>
      </w:r>
    </w:p>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农药使用者在</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过程中，配药时应当通过清洗等方式充分利用包装物中的农药，减少残留农药。 </w:t>
      </w:r>
    </w:p>
    <w:p>
      <w:pPr>
        <w:keepNext w:val="0"/>
        <w:keepLines w:val="0"/>
        <w:pageBreakBefore w:val="0"/>
        <w:kinsoku/>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农药经营者和农药包装废弃物回收站（点）应当建立农药包装废弃物回收台账，记录农药包装废弃物的数量和去向信息。回收台账应当保存两年以上。 </w:t>
      </w:r>
    </w:p>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农药生产者应当改进农药包装，便于清洗和回收。</w:t>
      </w:r>
    </w:p>
    <w:p>
      <w:pPr>
        <w:keepNext w:val="0"/>
        <w:keepLines w:val="0"/>
        <w:pageBreakBefore w:val="0"/>
        <w:kinsoku/>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国家鼓励农药生产者使用易资源化利用和易处置包装物、水溶性高分子包装物或者在环境中可降解的包装物，逐步淘汰铝箔包装物。鼓励使用便于回收的大容量包装物。 </w:t>
      </w:r>
    </w:p>
    <w:p>
      <w:pPr>
        <w:keepNext w:val="0"/>
        <w:keepLines w:val="0"/>
        <w:pageBreakBefore w:val="0"/>
        <w:kinsoku/>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农药经营者和农药包装废弃物回收站（点）应当加强相关设施设备、场所的管理和维护，对收集的农药包装废弃物进行妥善贮存，不得擅自倾倒、堆放、遗撒农药包装废弃物。</w:t>
      </w:r>
    </w:p>
    <w:p>
      <w:pPr>
        <w:keepNext w:val="0"/>
        <w:keepLines w:val="0"/>
        <w:pageBreakBefore w:val="0"/>
        <w:kinsoku/>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运输农药包装废弃物应当采取防止污染环境的措施，不得丢弃、遗撒农药包装废弃物，运输工具应当满足防雨、防渗漏、防遗撒要求。</w:t>
      </w:r>
    </w:p>
    <w:p>
      <w:pPr>
        <w:keepNext w:val="0"/>
        <w:keepLines w:val="0"/>
        <w:pageBreakBefore w:val="0"/>
        <w:kinsoku/>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国家鼓励和支持对农药包装废弃物进行资源化利用；资源化利用以外的，应当依法依规进行填埋、焚烧等无害化处置。 </w:t>
      </w:r>
    </w:p>
    <w:p>
      <w:pPr>
        <w:keepNext w:val="0"/>
        <w:keepLines w:val="0"/>
        <w:pageBreakBefore w:val="0"/>
        <w:kinsoku/>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农药生产者、经营者、使用者未按规定履行农药包装废弃物回收处理义务的，由地方人民政府农业农村主管部门按照《中华人民共和国土壤污染防治法》第八十八条规定予以处罚。 </w:t>
      </w:r>
    </w:p>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农药包装废弃物回收处理过程中，造成环境污染的，由地方人民政府生态环境主管部门按照《中华人民共和国固体废物污染环境防治法》等法律的有关规定予以处罚。 </w:t>
      </w:r>
    </w:p>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农药经营者和农药包装废弃物回收站（点）未按规定建立农药包装废弃物回收台账的，由地方人民政府农业农村主管部门责令改正；拒不改正或者情节严重的，可处二千元以上二万元以下罚款。 </w:t>
      </w:r>
    </w:p>
    <w:p>
      <w:pPr>
        <w:keepNext w:val="0"/>
        <w:keepLines w:val="0"/>
        <w:pageBreakBefore w:val="0"/>
        <w:kinsoku/>
        <w:overflowPunct/>
        <w:topLinePunct w:val="0"/>
        <w:autoSpaceDE/>
        <w:autoSpaceDN/>
        <w:bidi w:val="0"/>
        <w:adjustRightInd/>
        <w:spacing w:beforeAutospacing="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四、《中华人民共和国农产品质量安全法》有关规定：　　</w:t>
      </w:r>
    </w:p>
    <w:p>
      <w:pPr>
        <w:keepNext w:val="0"/>
        <w:keepLines w:val="0"/>
        <w:pageBreakBefore w:val="0"/>
        <w:kinsoku/>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有下列情形之一的农产品，不得销售：（一）含有国家禁止使用的农药、兽药或者其他化学物质的；（二）农药、兽药等化学物质残留或者含有的重金属等有毒有害物质不符合农产品质量安全标准的；（三）含有的致病性寄生虫、微生物或者生物毒素不符合农产品质量安全标准的；（四）使用的保鲜剂、防腐剂、添加剂等材料不符合国家有关强制性的技术规范的；（五）其他不符合农产品质量安全标准的。</w:t>
      </w:r>
    </w:p>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第四十九条　有本法第三十三条第四项规定情形，使用的保鲜剂、防腐剂、添加剂等材料不符合国家有关强制性的技术规范的，责令停止销售，对被污染的农产品进行无害化处理，对不能进行无害化处理的予以监督销毁；没收违法所得，并处二千元以上二万元以下罚款。</w:t>
      </w:r>
    </w:p>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第五十条　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w:t>
      </w:r>
    </w:p>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五、《最高人民法院最高人民检察院关于办理危害食品安全刑事案件中适用法律若干问题的解读》规定：</w:t>
      </w:r>
    </w:p>
    <w:p>
      <w:pPr>
        <w:keepNext w:val="0"/>
        <w:keepLines w:val="0"/>
        <w:pageBreakBefore w:val="0"/>
        <w:kinsoku/>
        <w:overflowPunct/>
        <w:topLinePunct w:val="0"/>
        <w:autoSpaceDE/>
        <w:autoSpaceDN/>
        <w:bidi w:val="0"/>
        <w:adjustRightInd/>
        <w:spacing w:beforeAutospacing="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食用农产品种植、养殖、销售、运输、贮存等过程中，违反食品安全标准，超限量或者超范围滥用添加剂、农药、兽药等，足以造成严重食物中毒事故或者其他严重食源性疾病的，依照刑法第一百四十三条的规定以生产、销售不符合安全标准的食品罪定罪处罚。在食用农产品种植、养殖、销售、运输、贮存等过程中，使用禁用农药、兽药等禁用物质或者其他有毒、有害物质的，依照刑法第一百四十四条的规定以生产、销售有毒、有害食品罪定罪处罚。</w:t>
      </w:r>
    </w:p>
    <w:p>
      <w:pPr>
        <w:keepNext w:val="0"/>
        <w:keepLines w:val="0"/>
        <w:pageBreakBefore w:val="0"/>
        <w:kinsoku/>
        <w:overflowPunct/>
        <w:topLinePunct w:val="0"/>
        <w:autoSpaceDE/>
        <w:autoSpaceDN/>
        <w:bidi w:val="0"/>
        <w:adjustRightInd/>
        <w:spacing w:beforeAutospacing="0" w:afterAutospacing="0" w:line="560" w:lineRule="exact"/>
        <w:textAlignment w:val="auto"/>
        <w:rPr>
          <w:rFonts w:hint="eastAsia" w:ascii="仿宋" w:hAnsi="仿宋" w:eastAsia="仿宋" w:cs="仿宋"/>
          <w:sz w:val="32"/>
          <w:szCs w:val="32"/>
        </w:rPr>
      </w:pPr>
      <w:r>
        <w:rPr>
          <w:rFonts w:hint="eastAsia" w:ascii="仿宋_GB2312" w:hAnsi="仿宋_GB2312" w:eastAsia="仿宋_GB2312" w:cs="仿宋_GB2312"/>
          <w:sz w:val="32"/>
          <w:szCs w:val="32"/>
        </w:rPr>
        <w:t>　　广大农药生产者、经营者和使用者安全合理经营使用农药和回收处理农药包装废弃物，事关农业生产、生态环境、农产品质量和群众生命等安全，需要大家共同支持和参与。区农业农村局安全使用农用药咨询热线：0750-6373979，</w:t>
      </w:r>
      <w:r>
        <w:rPr>
          <w:rFonts w:hint="eastAsia" w:ascii="仿宋_GB2312" w:hAnsi="仿宋_GB2312" w:eastAsia="仿宋_GB2312" w:cs="仿宋_GB2312"/>
          <w:sz w:val="32"/>
          <w:szCs w:val="32"/>
          <w:lang w:eastAsia="zh-CN"/>
        </w:rPr>
        <w:t>接收信息</w:t>
      </w:r>
      <w:r>
        <w:rPr>
          <w:rFonts w:hint="eastAsia" w:ascii="仿宋_GB2312" w:hAnsi="仿宋_GB2312" w:eastAsia="仿宋_GB2312" w:cs="仿宋_GB2312"/>
          <w:sz w:val="32"/>
          <w:szCs w:val="32"/>
        </w:rPr>
        <w:t>咨询、问题和建议反馈，让我们共同携手、共同关心和共同促进依法安全使用农药，共建农产品质量安全新会！</w:t>
      </w:r>
    </w:p>
    <w:p/>
    <w:p/>
    <w:p/>
    <w:p/>
    <w:p/>
    <w:p/>
    <w:p/>
    <w:p/>
    <w:p/>
    <w:p/>
    <w:p/>
    <w:p/>
    <w:p/>
    <w:p>
      <w:pPr>
        <w:keepNext w:val="0"/>
        <w:keepLines w:val="0"/>
        <w:pageBreakBefore w:val="0"/>
        <w:kinsoku/>
        <w:overflowPunct/>
        <w:topLinePunct w:val="0"/>
        <w:autoSpaceDE/>
        <w:autoSpaceDN/>
        <w:bidi w:val="0"/>
        <w:adjustRightInd/>
        <w:spacing w:beforeAutospacing="0" w:afterAutospacing="0" w:line="560" w:lineRule="exact"/>
        <w:textAlignment w:val="auto"/>
      </w:pPr>
    </w:p>
    <w:p/>
    <w:p/>
    <w:p/>
    <w:p/>
    <w:p/>
    <w:p>
      <w:pPr>
        <w:rPr>
          <w:rFonts w:hint="eastAsia"/>
        </w:rPr>
        <w:sectPr>
          <w:footerReference r:id="rId3" w:type="default"/>
          <w:pgSz w:w="11906" w:h="16838"/>
          <w:pgMar w:top="1701" w:right="1587" w:bottom="1417" w:left="1587" w:header="851" w:footer="992" w:gutter="0"/>
          <w:pgNumType w:fmt="decimal"/>
          <w:cols w:space="720" w:num="1"/>
          <w:docGrid w:type="lines" w:linePitch="312" w:charSpace="0"/>
        </w:sectPr>
      </w:pPr>
      <w:bookmarkStart w:id="0" w:name="_GoBack"/>
      <w:bookmarkEnd w:id="0"/>
    </w:p>
    <w:p>
      <w:pP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附件2</w:t>
      </w:r>
    </w:p>
    <w:tbl>
      <w:tblPr>
        <w:tblStyle w:val="12"/>
        <w:tblW w:w="13880" w:type="dxa"/>
        <w:tblInd w:w="93" w:type="dxa"/>
        <w:tblLayout w:type="fixed"/>
        <w:tblCellMar>
          <w:top w:w="0" w:type="dxa"/>
          <w:left w:w="108" w:type="dxa"/>
          <w:bottom w:w="0" w:type="dxa"/>
          <w:right w:w="108" w:type="dxa"/>
        </w:tblCellMar>
      </w:tblPr>
      <w:tblGrid>
        <w:gridCol w:w="3801"/>
        <w:gridCol w:w="2026"/>
        <w:gridCol w:w="1701"/>
        <w:gridCol w:w="1800"/>
        <w:gridCol w:w="3492"/>
        <w:gridCol w:w="1060"/>
      </w:tblGrid>
      <w:tr>
        <w:tblPrEx>
          <w:tblCellMar>
            <w:top w:w="0" w:type="dxa"/>
            <w:left w:w="108" w:type="dxa"/>
            <w:bottom w:w="0" w:type="dxa"/>
            <w:right w:w="108" w:type="dxa"/>
          </w:tblCellMar>
        </w:tblPrEx>
        <w:trPr>
          <w:trHeight w:val="604" w:hRule="atLeast"/>
        </w:trPr>
        <w:tc>
          <w:tcPr>
            <w:tcW w:w="13880" w:type="dxa"/>
            <w:gridSpan w:val="6"/>
            <w:tcBorders>
              <w:top w:val="nil"/>
              <w:left w:val="nil"/>
              <w:bottom w:val="nil"/>
              <w:right w:val="nil"/>
            </w:tcBorders>
            <w:noWrap/>
            <w:vAlign w:val="center"/>
          </w:tcPr>
          <w:p>
            <w:pPr>
              <w:widowControl/>
              <w:jc w:val="center"/>
              <w:textAlignment w:val="center"/>
              <w:rPr>
                <w:rFonts w:hint="eastAsia" w:ascii="仿宋_GB2312" w:hAnsi="仿宋_GB2312" w:eastAsia="仿宋_GB2312" w:cs="仿宋_GB2312"/>
                <w:b/>
                <w:bCs/>
                <w:color w:val="000000"/>
                <w:sz w:val="40"/>
                <w:szCs w:val="40"/>
              </w:rPr>
            </w:pPr>
            <w:r>
              <w:rPr>
                <w:rFonts w:hint="eastAsia" w:ascii="方正小标宋简体" w:hAnsi="方正小标宋简体" w:eastAsia="方正小标宋简体" w:cs="方正小标宋简体"/>
                <w:b w:val="0"/>
                <w:bCs w:val="0"/>
                <w:color w:val="000000"/>
                <w:kern w:val="0"/>
                <w:sz w:val="44"/>
                <w:szCs w:val="44"/>
                <w:lang w:bidi="ar"/>
              </w:rPr>
              <w:t>送达回执</w:t>
            </w:r>
          </w:p>
        </w:tc>
      </w:tr>
      <w:tr>
        <w:tblPrEx>
          <w:tblCellMar>
            <w:top w:w="0" w:type="dxa"/>
            <w:left w:w="108" w:type="dxa"/>
            <w:bottom w:w="0" w:type="dxa"/>
            <w:right w:w="108" w:type="dxa"/>
          </w:tblCellMar>
        </w:tblPrEx>
        <w:trPr>
          <w:trHeight w:val="604" w:hRule="atLeast"/>
        </w:trPr>
        <w:tc>
          <w:tcPr>
            <w:tcW w:w="13880" w:type="dxa"/>
            <w:gridSpan w:val="6"/>
            <w:tcBorders>
              <w:top w:val="nil"/>
              <w:left w:val="nil"/>
              <w:bottom w:val="nil"/>
              <w:right w:val="nil"/>
            </w:tcBorders>
            <w:noWrap/>
            <w:vAlign w:val="center"/>
          </w:tcPr>
          <w:p>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送达单位（盖章）：新会区</w:t>
            </w:r>
            <w:r>
              <w:rPr>
                <w:rStyle w:val="27"/>
                <w:rFonts w:hint="eastAsia" w:ascii="仿宋_GB2312" w:hAnsi="仿宋_GB2312" w:eastAsia="仿宋_GB2312" w:cs="仿宋_GB2312"/>
                <w:sz w:val="32"/>
                <w:szCs w:val="32"/>
                <w:lang w:bidi="ar"/>
              </w:rPr>
              <w:t xml:space="preserve">      </w:t>
            </w:r>
            <w:r>
              <w:rPr>
                <w:rStyle w:val="28"/>
                <w:rFonts w:hint="eastAsia" w:ascii="仿宋_GB2312" w:hAnsi="仿宋_GB2312" w:eastAsia="仿宋_GB2312" w:cs="仿宋_GB2312"/>
                <w:sz w:val="32"/>
                <w:szCs w:val="32"/>
                <w:lang w:bidi="ar"/>
              </w:rPr>
              <w:t>镇（街、区）农业农村办公室</w:t>
            </w:r>
          </w:p>
        </w:tc>
      </w:tr>
      <w:tr>
        <w:tblPrEx>
          <w:tblCellMar>
            <w:top w:w="0" w:type="dxa"/>
            <w:left w:w="108" w:type="dxa"/>
            <w:bottom w:w="0" w:type="dxa"/>
            <w:right w:w="108" w:type="dxa"/>
          </w:tblCellMar>
        </w:tblPrEx>
        <w:trPr>
          <w:trHeight w:val="823" w:hRule="atLeast"/>
        </w:trPr>
        <w:tc>
          <w:tcPr>
            <w:tcW w:w="380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送达文件名称</w:t>
            </w:r>
          </w:p>
        </w:tc>
        <w:tc>
          <w:tcPr>
            <w:tcW w:w="10079"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致全区农药生产、经营、使用者的一封信</w:t>
            </w:r>
          </w:p>
        </w:tc>
      </w:tr>
      <w:tr>
        <w:tblPrEx>
          <w:tblCellMar>
            <w:top w:w="0" w:type="dxa"/>
            <w:left w:w="108" w:type="dxa"/>
            <w:bottom w:w="0" w:type="dxa"/>
            <w:right w:w="108" w:type="dxa"/>
          </w:tblCellMar>
        </w:tblPrEx>
        <w:trPr>
          <w:trHeight w:val="900" w:hRule="atLeast"/>
        </w:trPr>
        <w:tc>
          <w:tcPr>
            <w:tcW w:w="3801"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color w:val="000000"/>
                <w:kern w:val="0"/>
                <w:sz w:val="26"/>
                <w:szCs w:val="26"/>
                <w:lang w:bidi="ar"/>
              </w:rPr>
              <w:t>受达人（含村（居）委会、农药生产者、经营者、使用者）全称</w:t>
            </w:r>
          </w:p>
        </w:tc>
        <w:tc>
          <w:tcPr>
            <w:tcW w:w="2026"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color w:val="000000"/>
                <w:kern w:val="0"/>
                <w:sz w:val="26"/>
                <w:szCs w:val="26"/>
                <w:lang w:bidi="ar"/>
              </w:rPr>
              <w:t>受达人签字        或盖章</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color w:val="000000"/>
                <w:kern w:val="0"/>
                <w:sz w:val="26"/>
                <w:szCs w:val="26"/>
                <w:lang w:bidi="ar"/>
              </w:rPr>
              <w:t>送达人</w:t>
            </w:r>
          </w:p>
          <w:p>
            <w:pPr>
              <w:spacing w:line="3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26"/>
                <w:szCs w:val="26"/>
                <w:lang w:bidi="ar"/>
              </w:rPr>
              <w:t>签字</w:t>
            </w:r>
          </w:p>
        </w:tc>
        <w:tc>
          <w:tcPr>
            <w:tcW w:w="1800" w:type="dxa"/>
            <w:tcBorders>
              <w:top w:val="single" w:color="000000" w:sz="4" w:space="0"/>
              <w:left w:val="single" w:color="000000" w:sz="4" w:space="0"/>
              <w:bottom w:val="single" w:color="000000" w:sz="4" w:space="0"/>
              <w:right w:val="single" w:color="000000" w:sz="4" w:space="0"/>
            </w:tcBorders>
            <w:noWrap/>
            <w:vAlign w:val="center"/>
          </w:tcPr>
          <w:p>
            <w:pPr>
              <w:spacing w:line="360" w:lineRule="exact"/>
              <w:jc w:val="center"/>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color w:val="000000"/>
                <w:kern w:val="0"/>
                <w:sz w:val="26"/>
                <w:szCs w:val="26"/>
                <w:lang w:bidi="ar"/>
              </w:rPr>
              <w:t>送（受）达</w:t>
            </w:r>
          </w:p>
          <w:p>
            <w:pPr>
              <w:spacing w:line="360" w:lineRule="exact"/>
              <w:jc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kern w:val="0"/>
                <w:sz w:val="26"/>
                <w:szCs w:val="26"/>
                <w:lang w:bidi="ar"/>
              </w:rPr>
              <w:t>时间</w:t>
            </w:r>
          </w:p>
        </w:tc>
        <w:tc>
          <w:tcPr>
            <w:tcW w:w="3492"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color w:val="000000"/>
                <w:kern w:val="0"/>
                <w:sz w:val="26"/>
                <w:szCs w:val="26"/>
                <w:lang w:bidi="ar"/>
              </w:rPr>
              <w:t>送达方式（在相应</w:t>
            </w:r>
            <w:r>
              <w:rPr>
                <w:rFonts w:hint="eastAsia" w:ascii="仿宋_GB2312" w:hAnsi="仿宋_GB2312" w:eastAsia="仿宋_GB2312" w:cs="仿宋_GB2312"/>
                <w:color w:val="000000"/>
                <w:kern w:val="0"/>
                <w:sz w:val="26"/>
                <w:szCs w:val="26"/>
                <w:lang w:bidi="ar"/>
              </w:rPr>
              <w:sym w:font="Wingdings" w:char="00A8"/>
            </w:r>
            <w:r>
              <w:rPr>
                <w:rFonts w:hint="eastAsia" w:ascii="仿宋_GB2312" w:hAnsi="仿宋_GB2312" w:eastAsia="仿宋_GB2312" w:cs="仿宋_GB2312"/>
                <w:color w:val="000000"/>
                <w:kern w:val="0"/>
                <w:sz w:val="26"/>
                <w:szCs w:val="26"/>
                <w:lang w:bidi="ar"/>
              </w:rPr>
              <w:t>打√）</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spacing w:line="380" w:lineRule="exact"/>
              <w:jc w:val="center"/>
              <w:rPr>
                <w:rFonts w:hint="eastAsia" w:ascii="仿宋_GB2312" w:hAnsi="仿宋_GB2312" w:eastAsia="仿宋_GB2312" w:cs="仿宋_GB2312"/>
                <w:color w:val="000000"/>
                <w:kern w:val="0"/>
                <w:sz w:val="26"/>
                <w:szCs w:val="26"/>
                <w:lang w:bidi="ar"/>
              </w:rPr>
            </w:pPr>
            <w:r>
              <w:rPr>
                <w:rFonts w:hint="eastAsia" w:ascii="仿宋_GB2312" w:hAnsi="仿宋_GB2312" w:eastAsia="仿宋_GB2312" w:cs="仿宋_GB2312"/>
                <w:color w:val="000000"/>
                <w:kern w:val="0"/>
                <w:sz w:val="26"/>
                <w:szCs w:val="26"/>
                <w:lang w:bidi="ar"/>
              </w:rPr>
              <w:t>备注</w:t>
            </w:r>
          </w:p>
        </w:tc>
      </w:tr>
      <w:tr>
        <w:tblPrEx>
          <w:tblCellMar>
            <w:top w:w="0" w:type="dxa"/>
            <w:left w:w="108" w:type="dxa"/>
            <w:bottom w:w="0" w:type="dxa"/>
            <w:right w:w="108" w:type="dxa"/>
          </w:tblCellMar>
        </w:tblPrEx>
        <w:trPr>
          <w:trHeight w:val="683" w:hRule="atLeast"/>
        </w:trPr>
        <w:tc>
          <w:tcPr>
            <w:tcW w:w="38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20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349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Wingdings" w:hAnsi="Wingdings" w:cs="Wingdings"/>
                <w:color w:val="000000"/>
                <w:sz w:val="24"/>
              </w:rPr>
            </w:pPr>
            <w:r>
              <w:rPr>
                <w:rFonts w:ascii="Wingdings" w:hAnsi="Wingdings" w:cs="Wingdings"/>
                <w:color w:val="000000"/>
                <w:kern w:val="0"/>
                <w:sz w:val="24"/>
                <w:lang w:bidi="ar"/>
              </w:rPr>
              <w:t></w:t>
            </w:r>
            <w:r>
              <w:rPr>
                <w:rStyle w:val="29"/>
                <w:rFonts w:hint="default"/>
                <w:lang w:bidi="ar"/>
              </w:rPr>
              <w:t>直接送达</w:t>
            </w:r>
            <w:r>
              <w:rPr>
                <w:rStyle w:val="30"/>
                <w:lang w:bidi="ar"/>
              </w:rPr>
              <w:t></w:t>
            </w:r>
            <w:r>
              <w:rPr>
                <w:rStyle w:val="29"/>
                <w:rFonts w:hint="default"/>
                <w:lang w:bidi="ar"/>
              </w:rPr>
              <w:t>转达送达</w:t>
            </w:r>
            <w:r>
              <w:rPr>
                <w:rStyle w:val="30"/>
                <w:lang w:bidi="ar"/>
              </w:rPr>
              <w:t></w:t>
            </w:r>
            <w:r>
              <w:rPr>
                <w:rStyle w:val="29"/>
                <w:rFonts w:hint="default"/>
                <w:lang w:bidi="ar"/>
              </w:rPr>
              <w:t>其他送达</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r>
      <w:tr>
        <w:tblPrEx>
          <w:tblCellMar>
            <w:top w:w="0" w:type="dxa"/>
            <w:left w:w="108" w:type="dxa"/>
            <w:bottom w:w="0" w:type="dxa"/>
            <w:right w:w="108" w:type="dxa"/>
          </w:tblCellMar>
        </w:tblPrEx>
        <w:trPr>
          <w:trHeight w:val="668" w:hRule="atLeast"/>
        </w:trPr>
        <w:tc>
          <w:tcPr>
            <w:tcW w:w="38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20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34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r>
              <w:rPr>
                <w:rFonts w:ascii="Wingdings" w:hAnsi="Wingdings" w:cs="Wingdings"/>
                <w:color w:val="000000"/>
                <w:kern w:val="0"/>
                <w:sz w:val="24"/>
                <w:lang w:bidi="ar"/>
              </w:rPr>
              <w:t></w:t>
            </w:r>
            <w:r>
              <w:rPr>
                <w:rStyle w:val="29"/>
                <w:rFonts w:hint="default"/>
                <w:lang w:bidi="ar"/>
              </w:rPr>
              <w:t>直接送达</w:t>
            </w:r>
            <w:r>
              <w:rPr>
                <w:rStyle w:val="30"/>
                <w:lang w:bidi="ar"/>
              </w:rPr>
              <w:t></w:t>
            </w:r>
            <w:r>
              <w:rPr>
                <w:rStyle w:val="29"/>
                <w:rFonts w:hint="default"/>
                <w:lang w:bidi="ar"/>
              </w:rPr>
              <w:t>转达送达</w:t>
            </w:r>
            <w:r>
              <w:rPr>
                <w:rStyle w:val="30"/>
                <w:lang w:bidi="ar"/>
              </w:rPr>
              <w:t></w:t>
            </w:r>
            <w:r>
              <w:rPr>
                <w:rStyle w:val="29"/>
                <w:rFonts w:hint="default"/>
                <w:lang w:bidi="ar"/>
              </w:rPr>
              <w:t>其他送达</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r>
      <w:tr>
        <w:tblPrEx>
          <w:tblCellMar>
            <w:top w:w="0" w:type="dxa"/>
            <w:left w:w="108" w:type="dxa"/>
            <w:bottom w:w="0" w:type="dxa"/>
            <w:right w:w="108" w:type="dxa"/>
          </w:tblCellMar>
        </w:tblPrEx>
        <w:trPr>
          <w:trHeight w:val="698" w:hRule="atLeast"/>
        </w:trPr>
        <w:tc>
          <w:tcPr>
            <w:tcW w:w="38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20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34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r>
              <w:rPr>
                <w:rFonts w:ascii="Wingdings" w:hAnsi="Wingdings" w:cs="Wingdings"/>
                <w:color w:val="000000"/>
                <w:kern w:val="0"/>
                <w:sz w:val="24"/>
                <w:lang w:bidi="ar"/>
              </w:rPr>
              <w:t></w:t>
            </w:r>
            <w:r>
              <w:rPr>
                <w:rStyle w:val="29"/>
                <w:rFonts w:hint="default"/>
                <w:lang w:bidi="ar"/>
              </w:rPr>
              <w:t>直接送达</w:t>
            </w:r>
            <w:r>
              <w:rPr>
                <w:rStyle w:val="30"/>
                <w:lang w:bidi="ar"/>
              </w:rPr>
              <w:t></w:t>
            </w:r>
            <w:r>
              <w:rPr>
                <w:rStyle w:val="29"/>
                <w:rFonts w:hint="default"/>
                <w:lang w:bidi="ar"/>
              </w:rPr>
              <w:t>转达送达</w:t>
            </w:r>
            <w:r>
              <w:rPr>
                <w:rStyle w:val="30"/>
                <w:lang w:bidi="ar"/>
              </w:rPr>
              <w:t></w:t>
            </w:r>
            <w:r>
              <w:rPr>
                <w:rStyle w:val="29"/>
                <w:rFonts w:hint="default"/>
                <w:lang w:bidi="ar"/>
              </w:rPr>
              <w:t>其他送达</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r>
      <w:tr>
        <w:tblPrEx>
          <w:tblCellMar>
            <w:top w:w="0" w:type="dxa"/>
            <w:left w:w="108" w:type="dxa"/>
            <w:bottom w:w="0" w:type="dxa"/>
            <w:right w:w="108" w:type="dxa"/>
          </w:tblCellMar>
        </w:tblPrEx>
        <w:trPr>
          <w:trHeight w:val="702" w:hRule="atLeast"/>
        </w:trPr>
        <w:tc>
          <w:tcPr>
            <w:tcW w:w="38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20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34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r>
              <w:rPr>
                <w:rFonts w:ascii="Wingdings" w:hAnsi="Wingdings" w:cs="Wingdings"/>
                <w:color w:val="000000"/>
                <w:kern w:val="0"/>
                <w:sz w:val="24"/>
                <w:lang w:bidi="ar"/>
              </w:rPr>
              <w:t></w:t>
            </w:r>
            <w:r>
              <w:rPr>
                <w:rStyle w:val="29"/>
                <w:rFonts w:hint="default"/>
                <w:lang w:bidi="ar"/>
              </w:rPr>
              <w:t>直接送达</w:t>
            </w:r>
            <w:r>
              <w:rPr>
                <w:rStyle w:val="30"/>
                <w:lang w:bidi="ar"/>
              </w:rPr>
              <w:t></w:t>
            </w:r>
            <w:r>
              <w:rPr>
                <w:rStyle w:val="29"/>
                <w:rFonts w:hint="default"/>
                <w:lang w:bidi="ar"/>
              </w:rPr>
              <w:t>转达送达</w:t>
            </w:r>
            <w:r>
              <w:rPr>
                <w:rStyle w:val="30"/>
                <w:lang w:bidi="ar"/>
              </w:rPr>
              <w:t></w:t>
            </w:r>
            <w:r>
              <w:rPr>
                <w:rStyle w:val="29"/>
                <w:rFonts w:hint="default"/>
                <w:lang w:bidi="ar"/>
              </w:rPr>
              <w:t>其他送达</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r>
      <w:tr>
        <w:tblPrEx>
          <w:tblCellMar>
            <w:top w:w="0" w:type="dxa"/>
            <w:left w:w="108" w:type="dxa"/>
            <w:bottom w:w="0" w:type="dxa"/>
            <w:right w:w="108" w:type="dxa"/>
          </w:tblCellMar>
        </w:tblPrEx>
        <w:trPr>
          <w:trHeight w:val="702" w:hRule="atLeast"/>
        </w:trPr>
        <w:tc>
          <w:tcPr>
            <w:tcW w:w="38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202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18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c>
          <w:tcPr>
            <w:tcW w:w="3492" w:type="dxa"/>
            <w:tcBorders>
              <w:top w:val="single" w:color="000000" w:sz="4" w:space="0"/>
              <w:left w:val="single" w:color="000000" w:sz="4" w:space="0"/>
              <w:bottom w:val="single" w:color="000000" w:sz="4" w:space="0"/>
              <w:right w:val="single" w:color="000000" w:sz="4" w:space="0"/>
            </w:tcBorders>
            <w:noWrap/>
            <w:vAlign w:val="center"/>
          </w:tcPr>
          <w:p>
            <w:pPr>
              <w:rPr>
                <w:rFonts w:ascii="Wingdings" w:hAnsi="Wingdings" w:cs="Wingdings"/>
                <w:color w:val="000000"/>
                <w:kern w:val="0"/>
                <w:sz w:val="24"/>
                <w:lang w:bidi="ar"/>
              </w:rPr>
            </w:pPr>
            <w:r>
              <w:rPr>
                <w:rFonts w:ascii="Wingdings" w:hAnsi="Wingdings" w:cs="Wingdings"/>
                <w:color w:val="000000"/>
                <w:kern w:val="0"/>
                <w:sz w:val="24"/>
                <w:lang w:bidi="ar"/>
              </w:rPr>
              <w:t></w:t>
            </w:r>
            <w:r>
              <w:rPr>
                <w:rStyle w:val="29"/>
                <w:rFonts w:hint="default"/>
                <w:lang w:bidi="ar"/>
              </w:rPr>
              <w:t>直接送达</w:t>
            </w:r>
            <w:r>
              <w:rPr>
                <w:rStyle w:val="30"/>
                <w:lang w:bidi="ar"/>
              </w:rPr>
              <w:t></w:t>
            </w:r>
            <w:r>
              <w:rPr>
                <w:rStyle w:val="29"/>
                <w:rFonts w:hint="default"/>
                <w:lang w:bidi="ar"/>
              </w:rPr>
              <w:t>转达送达</w:t>
            </w:r>
            <w:r>
              <w:rPr>
                <w:rStyle w:val="30"/>
                <w:lang w:bidi="ar"/>
              </w:rPr>
              <w:t></w:t>
            </w:r>
            <w:r>
              <w:rPr>
                <w:rStyle w:val="29"/>
                <w:rFonts w:hint="default"/>
                <w:lang w:bidi="ar"/>
              </w:rPr>
              <w:t>其他送达</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cs="宋体"/>
                <w:color w:val="000000"/>
                <w:sz w:val="24"/>
              </w:rPr>
            </w:pPr>
          </w:p>
        </w:tc>
      </w:tr>
    </w:tbl>
    <w:p/>
    <w:p>
      <w:pPr>
        <w:tabs>
          <w:tab w:val="left" w:pos="1718"/>
        </w:tabs>
        <w:bidi w:val="0"/>
        <w:jc w:val="left"/>
        <w:rPr>
          <w:rFonts w:hint="eastAsia"/>
          <w:lang w:val="en-US" w:eastAsia="zh-CN"/>
        </w:rPr>
      </w:pPr>
    </w:p>
    <w:sectPr>
      <w:headerReference r:id="rId5" w:type="first"/>
      <w:footerReference r:id="rId7" w:type="first"/>
      <w:headerReference r:id="rId4" w:type="default"/>
      <w:footerReference r:id="rId6" w:type="default"/>
      <w:pgSz w:w="16838" w:h="11906" w:orient="landscape"/>
      <w:pgMar w:top="1588" w:right="1701" w:bottom="1588" w:left="1418" w:header="851" w:footer="567" w:gutter="0"/>
      <w:pgNumType w:fmt="decimal"/>
      <w:cols w:space="425" w:num="1"/>
      <w:titlePg/>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2054" o:spid="_x0000_s2054"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8"/>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sz w:val="28"/>
                    <w:szCs w:val="28"/>
                  </w:rPr>
                  <w:t xml:space="preserve"> —</w:t>
                </w:r>
              </w:p>
            </w:txbxContent>
          </v:textbox>
        </v:shape>
      </w:pict>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仿宋" w:hAnsi="仿宋"/>
        <w:sz w:val="28"/>
        <w:szCs w:val="28"/>
      </w:rPr>
    </w:pPr>
    <w:r>
      <w:rPr>
        <w:sz w:val="28"/>
      </w:rPr>
      <w:pict>
        <v:shape id="_x0000_s2053" o:spid="_x0000_s2053"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sz w:val="28"/>
                    <w:szCs w:val="28"/>
                  </w:rPr>
                  <w:t xml:space="preserve"> —</w:t>
                </w:r>
              </w:p>
            </w:txbxContent>
          </v:textbox>
        </v:shape>
      </w:pic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58"/>
  <w:drawingGridVerticalSpacing w:val="579"/>
  <w:displayHorizontalDrawingGridEvery w:val="0"/>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k0M2E4YWQ2NzA5ZTA4OTRjNGVjYmFlZWJmY2FlZmYifQ=="/>
  </w:docVars>
  <w:rsids>
    <w:rsidRoot w:val="000F1B41"/>
    <w:rsid w:val="0000454C"/>
    <w:rsid w:val="00015641"/>
    <w:rsid w:val="000169A0"/>
    <w:rsid w:val="00016DA1"/>
    <w:rsid w:val="00024431"/>
    <w:rsid w:val="000325D7"/>
    <w:rsid w:val="0003261F"/>
    <w:rsid w:val="00037357"/>
    <w:rsid w:val="000566D8"/>
    <w:rsid w:val="00060890"/>
    <w:rsid w:val="00064A47"/>
    <w:rsid w:val="000811F5"/>
    <w:rsid w:val="00091F8F"/>
    <w:rsid w:val="0009344D"/>
    <w:rsid w:val="00095A31"/>
    <w:rsid w:val="00096A2F"/>
    <w:rsid w:val="000B4430"/>
    <w:rsid w:val="000C00ED"/>
    <w:rsid w:val="000C4D3D"/>
    <w:rsid w:val="000E5B6E"/>
    <w:rsid w:val="000E6FA5"/>
    <w:rsid w:val="000F16F8"/>
    <w:rsid w:val="000F1B41"/>
    <w:rsid w:val="000F23F7"/>
    <w:rsid w:val="001021C2"/>
    <w:rsid w:val="00103867"/>
    <w:rsid w:val="00104C04"/>
    <w:rsid w:val="00106E10"/>
    <w:rsid w:val="00106FB6"/>
    <w:rsid w:val="00114A7F"/>
    <w:rsid w:val="001379FE"/>
    <w:rsid w:val="00142BA2"/>
    <w:rsid w:val="001508F3"/>
    <w:rsid w:val="001510F5"/>
    <w:rsid w:val="00166A58"/>
    <w:rsid w:val="001772F3"/>
    <w:rsid w:val="001817F1"/>
    <w:rsid w:val="00181A2D"/>
    <w:rsid w:val="0018229D"/>
    <w:rsid w:val="0019493D"/>
    <w:rsid w:val="0019553B"/>
    <w:rsid w:val="001A36E5"/>
    <w:rsid w:val="001A4EEB"/>
    <w:rsid w:val="001B000D"/>
    <w:rsid w:val="001C08C6"/>
    <w:rsid w:val="001C0AF5"/>
    <w:rsid w:val="001C5832"/>
    <w:rsid w:val="001C6592"/>
    <w:rsid w:val="001D5AE2"/>
    <w:rsid w:val="001E289F"/>
    <w:rsid w:val="001E313A"/>
    <w:rsid w:val="0020568D"/>
    <w:rsid w:val="00213774"/>
    <w:rsid w:val="0022257C"/>
    <w:rsid w:val="002342C4"/>
    <w:rsid w:val="00241B93"/>
    <w:rsid w:val="002446C0"/>
    <w:rsid w:val="002532EB"/>
    <w:rsid w:val="00261F9B"/>
    <w:rsid w:val="002637FA"/>
    <w:rsid w:val="00271CDC"/>
    <w:rsid w:val="0028003D"/>
    <w:rsid w:val="00285640"/>
    <w:rsid w:val="002977F7"/>
    <w:rsid w:val="002A028B"/>
    <w:rsid w:val="002A342F"/>
    <w:rsid w:val="002B1569"/>
    <w:rsid w:val="002C0126"/>
    <w:rsid w:val="002C1D85"/>
    <w:rsid w:val="002C4A49"/>
    <w:rsid w:val="002D2D7D"/>
    <w:rsid w:val="002D48E0"/>
    <w:rsid w:val="002D58BA"/>
    <w:rsid w:val="00307089"/>
    <w:rsid w:val="003173A6"/>
    <w:rsid w:val="00325F62"/>
    <w:rsid w:val="00327F27"/>
    <w:rsid w:val="003433FB"/>
    <w:rsid w:val="00345B67"/>
    <w:rsid w:val="003541DF"/>
    <w:rsid w:val="0036046B"/>
    <w:rsid w:val="003678D6"/>
    <w:rsid w:val="00372570"/>
    <w:rsid w:val="003976EE"/>
    <w:rsid w:val="003A2189"/>
    <w:rsid w:val="003A28B2"/>
    <w:rsid w:val="003A68A2"/>
    <w:rsid w:val="003B021A"/>
    <w:rsid w:val="003C1190"/>
    <w:rsid w:val="003C485B"/>
    <w:rsid w:val="003C7337"/>
    <w:rsid w:val="003D1A13"/>
    <w:rsid w:val="003D6247"/>
    <w:rsid w:val="003E03DF"/>
    <w:rsid w:val="003E5842"/>
    <w:rsid w:val="003E5E3B"/>
    <w:rsid w:val="00403BC0"/>
    <w:rsid w:val="0040602F"/>
    <w:rsid w:val="00411B8B"/>
    <w:rsid w:val="00413902"/>
    <w:rsid w:val="00425E10"/>
    <w:rsid w:val="00430FBC"/>
    <w:rsid w:val="0043176A"/>
    <w:rsid w:val="00436216"/>
    <w:rsid w:val="00453C76"/>
    <w:rsid w:val="00454403"/>
    <w:rsid w:val="004549E2"/>
    <w:rsid w:val="004550C0"/>
    <w:rsid w:val="0045569D"/>
    <w:rsid w:val="00460B25"/>
    <w:rsid w:val="00474782"/>
    <w:rsid w:val="004768BB"/>
    <w:rsid w:val="00476A55"/>
    <w:rsid w:val="00481B9B"/>
    <w:rsid w:val="00482FFE"/>
    <w:rsid w:val="00490593"/>
    <w:rsid w:val="004973CA"/>
    <w:rsid w:val="004A0018"/>
    <w:rsid w:val="004A5F92"/>
    <w:rsid w:val="004A7D08"/>
    <w:rsid w:val="004B59F0"/>
    <w:rsid w:val="004C2140"/>
    <w:rsid w:val="004C2436"/>
    <w:rsid w:val="004C6969"/>
    <w:rsid w:val="004D0BAD"/>
    <w:rsid w:val="004E2635"/>
    <w:rsid w:val="004E6879"/>
    <w:rsid w:val="004E72BA"/>
    <w:rsid w:val="004F4D0A"/>
    <w:rsid w:val="004F5424"/>
    <w:rsid w:val="004F7F86"/>
    <w:rsid w:val="00500C10"/>
    <w:rsid w:val="005051DF"/>
    <w:rsid w:val="00526E4B"/>
    <w:rsid w:val="0053143F"/>
    <w:rsid w:val="00542A97"/>
    <w:rsid w:val="0054409C"/>
    <w:rsid w:val="00553772"/>
    <w:rsid w:val="0055380C"/>
    <w:rsid w:val="00557E93"/>
    <w:rsid w:val="005838B1"/>
    <w:rsid w:val="005A43B3"/>
    <w:rsid w:val="005A54E4"/>
    <w:rsid w:val="005B0EF3"/>
    <w:rsid w:val="005B2C3C"/>
    <w:rsid w:val="005C3947"/>
    <w:rsid w:val="005D0BED"/>
    <w:rsid w:val="005E3107"/>
    <w:rsid w:val="005E58D4"/>
    <w:rsid w:val="005F53B2"/>
    <w:rsid w:val="00607F5B"/>
    <w:rsid w:val="0062633B"/>
    <w:rsid w:val="006437F9"/>
    <w:rsid w:val="00663D26"/>
    <w:rsid w:val="00664B44"/>
    <w:rsid w:val="0067018E"/>
    <w:rsid w:val="00673D6A"/>
    <w:rsid w:val="006849D0"/>
    <w:rsid w:val="006956FD"/>
    <w:rsid w:val="006979FF"/>
    <w:rsid w:val="006A1FE8"/>
    <w:rsid w:val="006A2419"/>
    <w:rsid w:val="006A26B3"/>
    <w:rsid w:val="006A4902"/>
    <w:rsid w:val="006B38F7"/>
    <w:rsid w:val="006B4D4C"/>
    <w:rsid w:val="006B51AB"/>
    <w:rsid w:val="006B6CFB"/>
    <w:rsid w:val="006B7A98"/>
    <w:rsid w:val="006C3029"/>
    <w:rsid w:val="006C5640"/>
    <w:rsid w:val="006D4998"/>
    <w:rsid w:val="006D5C61"/>
    <w:rsid w:val="006D65A3"/>
    <w:rsid w:val="006E1E22"/>
    <w:rsid w:val="006E325F"/>
    <w:rsid w:val="00720828"/>
    <w:rsid w:val="00726C62"/>
    <w:rsid w:val="00735C39"/>
    <w:rsid w:val="007379B4"/>
    <w:rsid w:val="007479C1"/>
    <w:rsid w:val="007543E6"/>
    <w:rsid w:val="00760ADF"/>
    <w:rsid w:val="007635BF"/>
    <w:rsid w:val="00773045"/>
    <w:rsid w:val="0077777E"/>
    <w:rsid w:val="00780BB9"/>
    <w:rsid w:val="00786B1D"/>
    <w:rsid w:val="00791781"/>
    <w:rsid w:val="007A0D1E"/>
    <w:rsid w:val="007A0FEC"/>
    <w:rsid w:val="007A2FC6"/>
    <w:rsid w:val="007A5CFF"/>
    <w:rsid w:val="007B3B80"/>
    <w:rsid w:val="007C474D"/>
    <w:rsid w:val="007D3928"/>
    <w:rsid w:val="007D3B2B"/>
    <w:rsid w:val="007E0D86"/>
    <w:rsid w:val="007E1492"/>
    <w:rsid w:val="00801F4F"/>
    <w:rsid w:val="00813FE9"/>
    <w:rsid w:val="00825535"/>
    <w:rsid w:val="00825A9D"/>
    <w:rsid w:val="00832230"/>
    <w:rsid w:val="00861345"/>
    <w:rsid w:val="00865168"/>
    <w:rsid w:val="008676E9"/>
    <w:rsid w:val="00871838"/>
    <w:rsid w:val="00875BF3"/>
    <w:rsid w:val="00890F54"/>
    <w:rsid w:val="0089391E"/>
    <w:rsid w:val="008A7496"/>
    <w:rsid w:val="008B0008"/>
    <w:rsid w:val="008C0B15"/>
    <w:rsid w:val="008C3874"/>
    <w:rsid w:val="008C3F63"/>
    <w:rsid w:val="008E4976"/>
    <w:rsid w:val="008E5A99"/>
    <w:rsid w:val="008F04BF"/>
    <w:rsid w:val="008F0552"/>
    <w:rsid w:val="008F3D20"/>
    <w:rsid w:val="008F4328"/>
    <w:rsid w:val="008F5124"/>
    <w:rsid w:val="00916251"/>
    <w:rsid w:val="009244D2"/>
    <w:rsid w:val="009267EF"/>
    <w:rsid w:val="00931B46"/>
    <w:rsid w:val="00946965"/>
    <w:rsid w:val="0094799A"/>
    <w:rsid w:val="00950F35"/>
    <w:rsid w:val="0095575B"/>
    <w:rsid w:val="00963536"/>
    <w:rsid w:val="00976E2C"/>
    <w:rsid w:val="009834FD"/>
    <w:rsid w:val="00984CEB"/>
    <w:rsid w:val="00986A08"/>
    <w:rsid w:val="009A404F"/>
    <w:rsid w:val="009D307E"/>
    <w:rsid w:val="009E07ED"/>
    <w:rsid w:val="009E2824"/>
    <w:rsid w:val="009E49B2"/>
    <w:rsid w:val="009F0566"/>
    <w:rsid w:val="00A00C88"/>
    <w:rsid w:val="00A142A7"/>
    <w:rsid w:val="00A24D52"/>
    <w:rsid w:val="00A3468F"/>
    <w:rsid w:val="00A356D5"/>
    <w:rsid w:val="00A428AF"/>
    <w:rsid w:val="00A44037"/>
    <w:rsid w:val="00A53183"/>
    <w:rsid w:val="00A653BB"/>
    <w:rsid w:val="00A734A9"/>
    <w:rsid w:val="00A842BD"/>
    <w:rsid w:val="00A87561"/>
    <w:rsid w:val="00A93C65"/>
    <w:rsid w:val="00A968ED"/>
    <w:rsid w:val="00AB3D14"/>
    <w:rsid w:val="00AB6A94"/>
    <w:rsid w:val="00AC0E4F"/>
    <w:rsid w:val="00AD5469"/>
    <w:rsid w:val="00AE441A"/>
    <w:rsid w:val="00AF4FF6"/>
    <w:rsid w:val="00AF6CBC"/>
    <w:rsid w:val="00B33DBF"/>
    <w:rsid w:val="00B51276"/>
    <w:rsid w:val="00B81943"/>
    <w:rsid w:val="00B8251A"/>
    <w:rsid w:val="00B861FD"/>
    <w:rsid w:val="00B900A3"/>
    <w:rsid w:val="00BA4E34"/>
    <w:rsid w:val="00BA57D5"/>
    <w:rsid w:val="00BB1BB1"/>
    <w:rsid w:val="00BB1CE6"/>
    <w:rsid w:val="00BD70FB"/>
    <w:rsid w:val="00BE09BB"/>
    <w:rsid w:val="00BE3667"/>
    <w:rsid w:val="00BF002A"/>
    <w:rsid w:val="00BF3A59"/>
    <w:rsid w:val="00C02C18"/>
    <w:rsid w:val="00C12F1A"/>
    <w:rsid w:val="00C439CB"/>
    <w:rsid w:val="00C709C3"/>
    <w:rsid w:val="00C7192A"/>
    <w:rsid w:val="00C80F63"/>
    <w:rsid w:val="00C81686"/>
    <w:rsid w:val="00C819F5"/>
    <w:rsid w:val="00C95E4C"/>
    <w:rsid w:val="00C96913"/>
    <w:rsid w:val="00C96A21"/>
    <w:rsid w:val="00C973ED"/>
    <w:rsid w:val="00CA3586"/>
    <w:rsid w:val="00CA41E1"/>
    <w:rsid w:val="00CA7C5E"/>
    <w:rsid w:val="00CB0E10"/>
    <w:rsid w:val="00CC231B"/>
    <w:rsid w:val="00CD0D31"/>
    <w:rsid w:val="00CD1DEB"/>
    <w:rsid w:val="00CD4535"/>
    <w:rsid w:val="00CD7220"/>
    <w:rsid w:val="00CE4978"/>
    <w:rsid w:val="00CE7ACF"/>
    <w:rsid w:val="00CF057F"/>
    <w:rsid w:val="00CF528E"/>
    <w:rsid w:val="00CF74ED"/>
    <w:rsid w:val="00D16CB7"/>
    <w:rsid w:val="00D218E1"/>
    <w:rsid w:val="00D24E37"/>
    <w:rsid w:val="00D33985"/>
    <w:rsid w:val="00D41CE6"/>
    <w:rsid w:val="00D56B4A"/>
    <w:rsid w:val="00D57B91"/>
    <w:rsid w:val="00D60356"/>
    <w:rsid w:val="00D60A75"/>
    <w:rsid w:val="00D64F6B"/>
    <w:rsid w:val="00D664F5"/>
    <w:rsid w:val="00D73151"/>
    <w:rsid w:val="00DB067D"/>
    <w:rsid w:val="00DB26A4"/>
    <w:rsid w:val="00DC5E34"/>
    <w:rsid w:val="00DD3889"/>
    <w:rsid w:val="00DD68ED"/>
    <w:rsid w:val="00DE2B5E"/>
    <w:rsid w:val="00DE312B"/>
    <w:rsid w:val="00DE3E36"/>
    <w:rsid w:val="00E03B56"/>
    <w:rsid w:val="00E0725E"/>
    <w:rsid w:val="00E107CD"/>
    <w:rsid w:val="00E12EC7"/>
    <w:rsid w:val="00E14F4C"/>
    <w:rsid w:val="00E1587A"/>
    <w:rsid w:val="00E24B91"/>
    <w:rsid w:val="00E307C9"/>
    <w:rsid w:val="00E4313B"/>
    <w:rsid w:val="00E44641"/>
    <w:rsid w:val="00E51C9A"/>
    <w:rsid w:val="00E51D06"/>
    <w:rsid w:val="00E529DC"/>
    <w:rsid w:val="00E56481"/>
    <w:rsid w:val="00E569A4"/>
    <w:rsid w:val="00E90B4F"/>
    <w:rsid w:val="00EA1A47"/>
    <w:rsid w:val="00EB0534"/>
    <w:rsid w:val="00EB20B2"/>
    <w:rsid w:val="00EB43B8"/>
    <w:rsid w:val="00EC5A37"/>
    <w:rsid w:val="00ED6740"/>
    <w:rsid w:val="00EE460A"/>
    <w:rsid w:val="00F04673"/>
    <w:rsid w:val="00F04720"/>
    <w:rsid w:val="00F05EF3"/>
    <w:rsid w:val="00F07CF8"/>
    <w:rsid w:val="00F344BB"/>
    <w:rsid w:val="00F3749A"/>
    <w:rsid w:val="00F4346F"/>
    <w:rsid w:val="00F5761C"/>
    <w:rsid w:val="00F659BA"/>
    <w:rsid w:val="00F66F37"/>
    <w:rsid w:val="00F80B10"/>
    <w:rsid w:val="00F81B5D"/>
    <w:rsid w:val="00F93DDE"/>
    <w:rsid w:val="00FA6797"/>
    <w:rsid w:val="00FB0B32"/>
    <w:rsid w:val="00FB3D62"/>
    <w:rsid w:val="00FE4F12"/>
    <w:rsid w:val="00FE6B72"/>
    <w:rsid w:val="00FE7790"/>
    <w:rsid w:val="00FF0236"/>
    <w:rsid w:val="00FF2607"/>
    <w:rsid w:val="00FF594D"/>
    <w:rsid w:val="01320FF1"/>
    <w:rsid w:val="028265A2"/>
    <w:rsid w:val="04AE367F"/>
    <w:rsid w:val="04F22252"/>
    <w:rsid w:val="05803986"/>
    <w:rsid w:val="060D0C74"/>
    <w:rsid w:val="06141C07"/>
    <w:rsid w:val="066F6E3E"/>
    <w:rsid w:val="07C714D1"/>
    <w:rsid w:val="092C2283"/>
    <w:rsid w:val="09B2653E"/>
    <w:rsid w:val="0A693D0C"/>
    <w:rsid w:val="0F4454DF"/>
    <w:rsid w:val="100E76C7"/>
    <w:rsid w:val="113C5528"/>
    <w:rsid w:val="1153341E"/>
    <w:rsid w:val="11D65543"/>
    <w:rsid w:val="14F02167"/>
    <w:rsid w:val="19591AD7"/>
    <w:rsid w:val="1ADE0F6E"/>
    <w:rsid w:val="1E025715"/>
    <w:rsid w:val="1E7C785D"/>
    <w:rsid w:val="1F477846"/>
    <w:rsid w:val="20016679"/>
    <w:rsid w:val="20624A17"/>
    <w:rsid w:val="217D0921"/>
    <w:rsid w:val="289B103B"/>
    <w:rsid w:val="2C05030B"/>
    <w:rsid w:val="2C2B78D7"/>
    <w:rsid w:val="2CED0725"/>
    <w:rsid w:val="2D102BA4"/>
    <w:rsid w:val="30BE612B"/>
    <w:rsid w:val="33AB50A9"/>
    <w:rsid w:val="37535C65"/>
    <w:rsid w:val="37853F01"/>
    <w:rsid w:val="382966CC"/>
    <w:rsid w:val="3AEC0481"/>
    <w:rsid w:val="3BDB3770"/>
    <w:rsid w:val="3F9B4224"/>
    <w:rsid w:val="4446145A"/>
    <w:rsid w:val="487815A6"/>
    <w:rsid w:val="4E910F86"/>
    <w:rsid w:val="4F12268E"/>
    <w:rsid w:val="56AE2F0A"/>
    <w:rsid w:val="58DD054E"/>
    <w:rsid w:val="59D34915"/>
    <w:rsid w:val="5CEE19DF"/>
    <w:rsid w:val="5D1F232D"/>
    <w:rsid w:val="5DAD6FEF"/>
    <w:rsid w:val="5DED3831"/>
    <w:rsid w:val="605012F0"/>
    <w:rsid w:val="605213E2"/>
    <w:rsid w:val="644714BB"/>
    <w:rsid w:val="694D4A9E"/>
    <w:rsid w:val="69793676"/>
    <w:rsid w:val="6A1057B2"/>
    <w:rsid w:val="6B1A74F3"/>
    <w:rsid w:val="6E0763D9"/>
    <w:rsid w:val="6E8360C1"/>
    <w:rsid w:val="6E876E96"/>
    <w:rsid w:val="6E933825"/>
    <w:rsid w:val="6F280D81"/>
    <w:rsid w:val="70B643EB"/>
    <w:rsid w:val="71363258"/>
    <w:rsid w:val="76465F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 w:cs="Times New Roman"/>
      <w:kern w:val="2"/>
      <w:sz w:val="32"/>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b/>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qFormat/>
    <w:uiPriority w:val="0"/>
    <w:pPr>
      <w:jc w:val="left"/>
    </w:pPr>
    <w:rPr>
      <w:rFonts w:ascii="Calibri" w:hAnsi="Calibri" w:eastAsia="宋体"/>
      <w:sz w:val="21"/>
      <w:szCs w:val="24"/>
    </w:rPr>
  </w:style>
  <w:style w:type="paragraph" w:styleId="5">
    <w:name w:val="Body Text"/>
    <w:basedOn w:val="1"/>
    <w:link w:val="19"/>
    <w:qFormat/>
    <w:uiPriority w:val="0"/>
    <w:pPr>
      <w:spacing w:line="0" w:lineRule="atLeast"/>
    </w:pPr>
    <w:rPr>
      <w:rFonts w:eastAsia="小标宋"/>
      <w:sz w:val="44"/>
      <w:szCs w:val="32"/>
    </w:rPr>
  </w:style>
  <w:style w:type="paragraph" w:styleId="6">
    <w:name w:val="Body Text Indent"/>
    <w:basedOn w:val="1"/>
    <w:link w:val="22"/>
    <w:semiHidden/>
    <w:unhideWhenUsed/>
    <w:qFormat/>
    <w:uiPriority w:val="99"/>
    <w:pPr>
      <w:spacing w:after="120"/>
      <w:ind w:left="420" w:leftChars="200"/>
    </w:pPr>
  </w:style>
  <w:style w:type="paragraph" w:styleId="7">
    <w:name w:val="Date"/>
    <w:basedOn w:val="1"/>
    <w:next w:val="1"/>
    <w:link w:val="20"/>
    <w:semiHidden/>
    <w:unhideWhenUsed/>
    <w:qFormat/>
    <w:uiPriority w:val="99"/>
    <w:pPr>
      <w:ind w:left="100" w:leftChars="2500"/>
    </w:p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eastAsia="宋体" w:cs="宋体"/>
      <w:kern w:val="0"/>
      <w:sz w:val="24"/>
      <w:szCs w:val="24"/>
    </w:rPr>
  </w:style>
  <w:style w:type="paragraph" w:styleId="11">
    <w:name w:val="Body Text First Indent 2"/>
    <w:basedOn w:val="6"/>
    <w:qFormat/>
    <w:uiPriority w:val="0"/>
    <w:pPr>
      <w:spacing w:after="0"/>
      <w:ind w:firstLine="420" w:firstLineChars="200"/>
    </w:pPr>
    <w:rPr>
      <w:szCs w:val="21"/>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basedOn w:val="14"/>
    <w:unhideWhenUsed/>
    <w:qFormat/>
    <w:uiPriority w:val="99"/>
    <w:rPr>
      <w:color w:val="0000FF"/>
      <w:u w:val="single"/>
    </w:rPr>
  </w:style>
  <w:style w:type="character" w:customStyle="1" w:styleId="17">
    <w:name w:val="页眉 Char"/>
    <w:link w:val="9"/>
    <w:semiHidden/>
    <w:qFormat/>
    <w:uiPriority w:val="99"/>
    <w:rPr>
      <w:rFonts w:ascii="宋体" w:hAnsi="宋体" w:eastAsia="方正仿宋简体"/>
      <w:sz w:val="18"/>
      <w:szCs w:val="18"/>
    </w:rPr>
  </w:style>
  <w:style w:type="character" w:customStyle="1" w:styleId="18">
    <w:name w:val="页脚 Char"/>
    <w:link w:val="8"/>
    <w:qFormat/>
    <w:uiPriority w:val="99"/>
    <w:rPr>
      <w:rFonts w:ascii="宋体" w:hAnsi="宋体" w:eastAsia="方正仿宋简体"/>
      <w:sz w:val="18"/>
      <w:szCs w:val="18"/>
    </w:rPr>
  </w:style>
  <w:style w:type="character" w:customStyle="1" w:styleId="19">
    <w:name w:val="正文文本 Char"/>
    <w:link w:val="5"/>
    <w:qFormat/>
    <w:uiPriority w:val="0"/>
    <w:rPr>
      <w:rFonts w:ascii="宋体" w:hAnsi="宋体" w:eastAsia="小标宋" w:cs="Times New Roman"/>
      <w:sz w:val="44"/>
      <w:szCs w:val="32"/>
    </w:rPr>
  </w:style>
  <w:style w:type="character" w:customStyle="1" w:styleId="20">
    <w:name w:val="日期 Char"/>
    <w:basedOn w:val="14"/>
    <w:link w:val="7"/>
    <w:semiHidden/>
    <w:qFormat/>
    <w:uiPriority w:val="99"/>
    <w:rPr>
      <w:rFonts w:ascii="宋体" w:hAnsi="宋体" w:eastAsia="仿宋"/>
      <w:kern w:val="2"/>
      <w:sz w:val="32"/>
      <w:szCs w:val="22"/>
    </w:rPr>
  </w:style>
  <w:style w:type="character" w:customStyle="1" w:styleId="21">
    <w:name w:val="标题 1 Char"/>
    <w:basedOn w:val="14"/>
    <w:link w:val="2"/>
    <w:qFormat/>
    <w:uiPriority w:val="9"/>
    <w:rPr>
      <w:rFonts w:asciiTheme="minorHAnsi" w:hAnsiTheme="minorHAnsi" w:eastAsiaTheme="minorEastAsia" w:cstheme="minorBidi"/>
      <w:b/>
      <w:bCs/>
      <w:kern w:val="44"/>
      <w:sz w:val="44"/>
      <w:szCs w:val="44"/>
    </w:rPr>
  </w:style>
  <w:style w:type="character" w:customStyle="1" w:styleId="22">
    <w:name w:val="正文文本缩进 Char"/>
    <w:basedOn w:val="14"/>
    <w:link w:val="6"/>
    <w:semiHidden/>
    <w:qFormat/>
    <w:uiPriority w:val="99"/>
    <w:rPr>
      <w:rFonts w:ascii="宋体" w:hAnsi="宋体" w:eastAsia="仿宋"/>
      <w:kern w:val="2"/>
      <w:sz w:val="32"/>
      <w:szCs w:val="22"/>
    </w:rPr>
  </w:style>
  <w:style w:type="character" w:customStyle="1" w:styleId="23">
    <w:name w:val="批注文字 Char"/>
    <w:basedOn w:val="14"/>
    <w:link w:val="4"/>
    <w:qFormat/>
    <w:uiPriority w:val="0"/>
    <w:rPr>
      <w:kern w:val="2"/>
      <w:sz w:val="21"/>
      <w:szCs w:val="24"/>
    </w:rPr>
  </w:style>
  <w:style w:type="character" w:customStyle="1" w:styleId="24">
    <w:name w:val="批注文字 Char1"/>
    <w:basedOn w:val="14"/>
    <w:link w:val="4"/>
    <w:semiHidden/>
    <w:qFormat/>
    <w:uiPriority w:val="99"/>
    <w:rPr>
      <w:rFonts w:ascii="宋体" w:hAnsi="宋体" w:eastAsia="仿宋"/>
      <w:kern w:val="2"/>
      <w:sz w:val="32"/>
      <w:szCs w:val="22"/>
    </w:rPr>
  </w:style>
  <w:style w:type="paragraph" w:customStyle="1" w:styleId="25">
    <w:name w:val="p0"/>
    <w:basedOn w:val="1"/>
    <w:qFormat/>
    <w:uiPriority w:val="0"/>
    <w:rPr>
      <w:rFonts w:eastAsia="宋体"/>
      <w:kern w:val="0"/>
      <w:szCs w:val="21"/>
    </w:rPr>
  </w:style>
  <w:style w:type="paragraph" w:customStyle="1" w:styleId="26">
    <w:name w:val="Default"/>
    <w:unhideWhenUsed/>
    <w:qFormat/>
    <w:uiPriority w:val="99"/>
    <w:pPr>
      <w:widowControl w:val="0"/>
      <w:autoSpaceDE w:val="0"/>
      <w:autoSpaceDN w:val="0"/>
      <w:adjustRightInd w:val="0"/>
      <w:spacing w:beforeLines="0" w:afterLines="0"/>
    </w:pPr>
    <w:rPr>
      <w:rFonts w:hint="eastAsia" w:ascii="方正小标宋简体" w:hAnsi="方正小标宋简体" w:eastAsia="方正小标宋简体" w:cs="Times New Roman"/>
      <w:color w:val="000000"/>
      <w:sz w:val="24"/>
      <w:szCs w:val="22"/>
    </w:rPr>
  </w:style>
  <w:style w:type="character" w:customStyle="1" w:styleId="27">
    <w:name w:val="font11"/>
    <w:basedOn w:val="14"/>
    <w:qFormat/>
    <w:uiPriority w:val="0"/>
    <w:rPr>
      <w:rFonts w:hint="eastAsia" w:ascii="宋体" w:hAnsi="宋体" w:eastAsia="宋体" w:cs="宋体"/>
      <w:color w:val="000000"/>
      <w:sz w:val="30"/>
      <w:szCs w:val="30"/>
      <w:u w:val="single"/>
    </w:rPr>
  </w:style>
  <w:style w:type="character" w:customStyle="1" w:styleId="28">
    <w:name w:val="font51"/>
    <w:basedOn w:val="14"/>
    <w:qFormat/>
    <w:uiPriority w:val="0"/>
    <w:rPr>
      <w:rFonts w:hint="eastAsia" w:ascii="宋体" w:hAnsi="宋体" w:eastAsia="宋体" w:cs="宋体"/>
      <w:color w:val="000000"/>
      <w:sz w:val="30"/>
      <w:szCs w:val="30"/>
      <w:u w:val="none"/>
    </w:rPr>
  </w:style>
  <w:style w:type="character" w:customStyle="1" w:styleId="29">
    <w:name w:val="font61"/>
    <w:basedOn w:val="14"/>
    <w:qFormat/>
    <w:uiPriority w:val="0"/>
    <w:rPr>
      <w:rFonts w:hint="eastAsia" w:ascii="宋体" w:hAnsi="宋体" w:eastAsia="宋体" w:cs="宋体"/>
      <w:color w:val="000000"/>
      <w:sz w:val="20"/>
      <w:szCs w:val="20"/>
      <w:u w:val="none"/>
    </w:rPr>
  </w:style>
  <w:style w:type="character" w:customStyle="1" w:styleId="30">
    <w:name w:val="font71"/>
    <w:basedOn w:val="14"/>
    <w:qFormat/>
    <w:uiPriority w:val="0"/>
    <w:rPr>
      <w:rFonts w:hint="default" w:ascii="Wingdings" w:hAnsi="Wingdings" w:cs="Wingding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4" textRotate="1"/>
    <customShpInfo spid="_x0000_s2049" textRotate="1"/>
    <customShpInfo spid="_x0000_s2053" textRotate="1"/>
    <customShpInfo spid="_x0000_s1036"/>
    <customShpInfo spid="_x0000_s1035"/>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C03982-47B1-41B9-A36D-E59475E8A9F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4308</Words>
  <Characters>4356</Characters>
  <Lines>2</Lines>
  <Paragraphs>1</Paragraphs>
  <TotalTime>8</TotalTime>
  <ScaleCrop>false</ScaleCrop>
  <LinksUpToDate>false</LinksUpToDate>
  <CharactersWithSpaces>4467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2020-08-18T06:54:00Z</dcterms:created>
  <dc:creator>区农林局收发员</dc:creator>
  <cp:lastModifiedBy>奇洛元维斯</cp:lastModifiedBy>
  <cp:lastPrinted>2022-03-08T03:01:00Z</cp:lastPrinted>
  <dcterms:modified xsi:type="dcterms:W3CDTF">2022-05-19T07:29:35Z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CFC38E1FA0D246D690644FC16E692F9A</vt:lpwstr>
  </property>
</Properties>
</file>