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560" w:lineRule="exact"/>
        <w:rPr>
          <w:rFonts w:hint="default" w:ascii="Times New Roman"/>
          <w:color w:val="000000"/>
          <w:sz w:val="44"/>
          <w:szCs w:val="44"/>
        </w:rPr>
      </w:pPr>
    </w:p>
    <w:p>
      <w:pPr>
        <w:pStyle w:val="13"/>
        <w:widowControl/>
        <w:spacing w:line="560" w:lineRule="exact"/>
        <w:rPr>
          <w:rFonts w:hint="default" w:ascii="Times New Roman"/>
          <w:color w:val="000000"/>
          <w:sz w:val="44"/>
          <w:szCs w:val="44"/>
        </w:rPr>
      </w:pPr>
    </w:p>
    <w:p>
      <w:pPr>
        <w:pStyle w:val="13"/>
        <w:widowControl/>
        <w:spacing w:line="560" w:lineRule="exact"/>
        <w:rPr>
          <w:rFonts w:hint="default" w:ascii="Times New Roman"/>
          <w:color w:val="000000"/>
          <w:sz w:val="44"/>
          <w:szCs w:val="44"/>
        </w:rPr>
      </w:pPr>
    </w:p>
    <w:p>
      <w:pPr>
        <w:pStyle w:val="13"/>
        <w:widowControl/>
        <w:spacing w:line="560" w:lineRule="exact"/>
        <w:rPr>
          <w:rFonts w:hint="default" w:ascii="Times New Roman"/>
          <w:color w:val="000000"/>
          <w:sz w:val="44"/>
          <w:szCs w:val="44"/>
        </w:rPr>
      </w:pPr>
    </w:p>
    <w:p>
      <w:pPr>
        <w:pStyle w:val="13"/>
        <w:widowControl/>
        <w:spacing w:line="560" w:lineRule="exact"/>
        <w:rPr>
          <w:rFonts w:hint="default" w:ascii="Times New Roman"/>
          <w:color w:val="000000"/>
          <w:sz w:val="44"/>
          <w:szCs w:val="44"/>
        </w:rPr>
      </w:pPr>
    </w:p>
    <w:p>
      <w:pPr>
        <w:pStyle w:val="13"/>
        <w:widowControl/>
        <w:rPr>
          <w:rFonts w:hint="default" w:hAnsi="方正小标宋简体" w:cs="方正小标宋简体"/>
          <w:color w:val="000000"/>
          <w:sz w:val="44"/>
          <w:szCs w:val="44"/>
        </w:rPr>
      </w:pPr>
      <w:r>
        <w:rPr>
          <w:rFonts w:hAnsi="方正小标宋简体" w:cs="方正小标宋简体"/>
          <w:color w:val="000000"/>
          <w:sz w:val="44"/>
          <w:szCs w:val="44"/>
        </w:rPr>
        <w:t>新会区国民经济和社会发展第十四个五年规划和2035年远景目标纲要</w:t>
      </w:r>
    </w:p>
    <w:p>
      <w:pPr>
        <w:spacing w:line="560" w:lineRule="exact"/>
        <w:jc w:val="center"/>
        <w:rPr>
          <w:rFonts w:ascii="Times New Roman" w:hAnsi="Times New Roman" w:eastAsia="方正楷体简体" w:cs="Times New Roman"/>
          <w:color w:val="000000"/>
          <w:sz w:val="32"/>
          <w:szCs w:val="32"/>
        </w:rPr>
      </w:pPr>
      <w:r>
        <w:rPr>
          <w:rFonts w:ascii="Times New Roman" w:hAnsi="Times New Roman" w:eastAsia="方正楷体简体" w:cs="Times New Roman"/>
          <w:color w:val="000000"/>
          <w:sz w:val="32"/>
          <w:szCs w:val="32"/>
        </w:rPr>
        <w:t>（2021年1月26日区十五届人大第七次会议审议批准）</w:t>
      </w: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6"/>
          <w:szCs w:val="36"/>
        </w:rPr>
      </w:pPr>
    </w:p>
    <w:p>
      <w:pPr>
        <w:spacing w:line="560" w:lineRule="exact"/>
        <w:jc w:val="center"/>
        <w:rPr>
          <w:rFonts w:eastAsia="方正小标宋简体"/>
          <w:color w:val="000000"/>
          <w:sz w:val="32"/>
          <w:szCs w:val="32"/>
        </w:rPr>
      </w:pPr>
      <w:r>
        <w:rPr>
          <w:rFonts w:hint="eastAsia" w:ascii="Times New Roman" w:hAnsi="方正小标宋简体" w:eastAsia="方正小标宋简体" w:cs="方正小标宋简体"/>
          <w:color w:val="000000"/>
          <w:sz w:val="32"/>
          <w:szCs w:val="32"/>
        </w:rPr>
        <w:t>江门市新会区人民政府</w:t>
      </w:r>
    </w:p>
    <w:p>
      <w:pPr>
        <w:spacing w:line="560" w:lineRule="exact"/>
        <w:jc w:val="center"/>
        <w:rPr>
          <w:rFonts w:eastAsia="方正小标宋简体"/>
          <w:color w:val="000000"/>
          <w:sz w:val="32"/>
          <w:szCs w:val="32"/>
        </w:rPr>
      </w:pPr>
      <w:r>
        <w:rPr>
          <w:rFonts w:ascii="Times New Roman" w:hAnsi="Times New Roman" w:eastAsia="方正小标宋简体" w:cs="Times New Roman"/>
          <w:color w:val="000000"/>
          <w:sz w:val="32"/>
          <w:szCs w:val="32"/>
        </w:rPr>
        <w:t>2021</w:t>
      </w:r>
      <w:r>
        <w:rPr>
          <w:rFonts w:hint="eastAsia" w:ascii="Times New Roman" w:hAnsi="方正小标宋简体" w:eastAsia="方正小标宋简体" w:cs="方正小标宋简体"/>
          <w:color w:val="000000"/>
          <w:sz w:val="32"/>
          <w:szCs w:val="32"/>
        </w:rPr>
        <w:t>年</w:t>
      </w:r>
      <w:r>
        <w:rPr>
          <w:rFonts w:hint="eastAsia" w:ascii="Times New Roman" w:hAnsi="Times New Roman" w:eastAsia="方正小标宋简体" w:cs="Times New Roman"/>
          <w:color w:val="000000"/>
          <w:sz w:val="32"/>
          <w:szCs w:val="32"/>
          <w:lang w:val="en-US" w:eastAsia="zh-CN"/>
        </w:rPr>
        <w:t>7</w:t>
      </w:r>
      <w:bookmarkStart w:id="321" w:name="_GoBack"/>
      <w:bookmarkEnd w:id="321"/>
      <w:r>
        <w:rPr>
          <w:rFonts w:hint="eastAsia" w:ascii="Times New Roman" w:hAnsi="方正小标宋简体" w:eastAsia="方正小标宋简体" w:cs="方正小标宋简体"/>
          <w:color w:val="000000"/>
          <w:sz w:val="32"/>
          <w:szCs w:val="32"/>
        </w:rPr>
        <w:t>月</w:t>
      </w:r>
    </w:p>
    <w:p>
      <w:pPr>
        <w:spacing w:line="560" w:lineRule="exact"/>
        <w:ind w:firstLine="0"/>
        <w:jc w:val="center"/>
        <w:rPr>
          <w:rFonts w:ascii="Times New Roman" w:hAnsi="Times New Roman" w:eastAsia="方正小标宋简体" w:cs="Times New Roman"/>
          <w:sz w:val="44"/>
          <w:szCs w:val="44"/>
        </w:rPr>
      </w:pPr>
    </w:p>
    <w:p>
      <w:pPr>
        <w:spacing w:line="560" w:lineRule="exact"/>
        <w:ind w:firstLine="0"/>
        <w:jc w:val="center"/>
        <w:rPr>
          <w:rFonts w:ascii="Times New Roman" w:hAnsi="Times New Roman" w:eastAsia="方正小标宋简体" w:cs="Times New Roman"/>
          <w:sz w:val="44"/>
          <w:szCs w:val="44"/>
        </w:rPr>
      </w:pPr>
    </w:p>
    <w:p>
      <w:pPr>
        <w:spacing w:line="560" w:lineRule="exact"/>
        <w:ind w:firstLine="0"/>
        <w:jc w:val="center"/>
        <w:rPr>
          <w:rFonts w:ascii="Times New Roman" w:hAnsi="Times New Roman" w:eastAsia="方正小标宋简体" w:cs="Times New Roman"/>
          <w:sz w:val="44"/>
          <w:szCs w:val="44"/>
        </w:rPr>
        <w:sectPr>
          <w:footerReference r:id="rId3" w:type="default"/>
          <w:pgSz w:w="11906" w:h="16838"/>
          <w:pgMar w:top="1418" w:right="1701" w:bottom="1418" w:left="1701" w:header="851" w:footer="992" w:gutter="0"/>
          <w:pgNumType w:fmt="decimal"/>
          <w:cols w:space="720" w:num="1"/>
          <w:docGrid w:type="lines" w:linePitch="312" w:charSpace="0"/>
        </w:sectPr>
      </w:pPr>
    </w:p>
    <w:p>
      <w:pPr>
        <w:spacing w:line="560" w:lineRule="exact"/>
        <w:ind w:firstLine="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目 录</w:t>
      </w:r>
    </w:p>
    <w:p>
      <w:pPr>
        <w:pStyle w:val="13"/>
        <w:tabs>
          <w:tab w:val="right" w:leader="dot" w:pos="8494"/>
        </w:tabs>
        <w:ind w:firstLine="640"/>
        <w:rPr>
          <w:rFonts w:hint="default" w:ascii="Times New Roman" w:eastAsia="宋体"/>
          <w:sz w:val="32"/>
          <w:szCs w:val="32"/>
        </w:rPr>
      </w:pPr>
    </w:p>
    <w:p>
      <w:pPr>
        <w:pStyle w:val="13"/>
        <w:tabs>
          <w:tab w:val="right" w:leader="dot" w:pos="8494"/>
        </w:tabs>
        <w:spacing w:before="0" w:line="400" w:lineRule="exact"/>
        <w:ind w:firstLine="480"/>
        <w:rPr>
          <w:rFonts w:hint="default" w:ascii="黑体" w:hAnsi="黑体" w:eastAsia="黑体" w:cs="黑体"/>
        </w:rPr>
      </w:pPr>
      <w:r>
        <w:rPr>
          <w:rFonts w:ascii="黑体" w:hAnsi="黑体" w:eastAsia="黑体" w:cs="黑体"/>
        </w:rPr>
        <w:fldChar w:fldCharType="begin"/>
      </w:r>
      <w:r>
        <w:rPr>
          <w:rFonts w:ascii="黑体" w:hAnsi="黑体" w:eastAsia="黑体" w:cs="黑体"/>
        </w:rPr>
        <w:instrText xml:space="preserve">TOC \o "1-2" \h \u </w:instrText>
      </w:r>
      <w:r>
        <w:rPr>
          <w:rFonts w:ascii="黑体" w:hAnsi="黑体" w:eastAsia="黑体" w:cs="黑体"/>
        </w:rPr>
        <w:fldChar w:fldCharType="separate"/>
      </w:r>
      <w:r>
        <w:fldChar w:fldCharType="begin"/>
      </w:r>
      <w:r>
        <w:instrText xml:space="preserve"> HYPERLINK \l "_Toc61946309" </w:instrText>
      </w:r>
      <w:r>
        <w:fldChar w:fldCharType="separate"/>
      </w:r>
      <w:r>
        <w:rPr>
          <w:rStyle w:val="21"/>
          <w:rFonts w:ascii="黑体" w:hAnsi="黑体" w:eastAsia="黑体" w:cs="黑体"/>
        </w:rPr>
        <w:t>第一章 “十三五”时期主要成就和“十四五”时期发展形势</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_Toc61946309 \h </w:instrText>
      </w:r>
      <w:r>
        <w:rPr>
          <w:rFonts w:ascii="黑体" w:hAnsi="黑体" w:eastAsia="黑体" w:cs="黑体"/>
        </w:rPr>
        <w:fldChar w:fldCharType="separate"/>
      </w:r>
      <w:r>
        <w:rPr>
          <w:rFonts w:ascii="黑体" w:hAnsi="黑体" w:eastAsia="黑体" w:cs="黑体"/>
        </w:rPr>
        <w:t>1</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"_Toc61946310" </w:instrText>
      </w:r>
      <w:r>
        <w:fldChar w:fldCharType="separate"/>
      </w:r>
      <w:r>
        <w:rPr>
          <w:rStyle w:val="21"/>
          <w:rFonts w:hint="eastAsia" w:ascii="黑体" w:hAnsi="黑体" w:eastAsia="黑体" w:cs="黑体"/>
          <w:sz w:val="24"/>
        </w:rPr>
        <w:t>第一节 “十三五”时期发展成就</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_Toc61946310 \h </w:instrText>
      </w:r>
      <w:r>
        <w:rPr>
          <w:rFonts w:hint="eastAsia" w:ascii="黑体" w:hAnsi="黑体" w:eastAsia="黑体" w:cs="黑体"/>
          <w:sz w:val="24"/>
        </w:rPr>
        <w:fldChar w:fldCharType="separate"/>
      </w:r>
      <w:r>
        <w:rPr>
          <w:rFonts w:hint="eastAsia" w:ascii="黑体" w:hAnsi="黑体" w:eastAsia="黑体" w:cs="黑体"/>
          <w:sz w:val="24"/>
        </w:rPr>
        <w:t>1</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"_Toc61946311" </w:instrText>
      </w:r>
      <w:r>
        <w:fldChar w:fldCharType="separate"/>
      </w:r>
      <w:r>
        <w:rPr>
          <w:rStyle w:val="21"/>
          <w:rFonts w:hint="eastAsia" w:ascii="黑体" w:hAnsi="黑体" w:eastAsia="黑体" w:cs="黑体"/>
          <w:sz w:val="24"/>
        </w:rPr>
        <w:t>第二节 “十四五”时期发展形势</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_Toc61946311 \h </w:instrText>
      </w:r>
      <w:r>
        <w:rPr>
          <w:rFonts w:hint="eastAsia" w:ascii="黑体" w:hAnsi="黑体" w:eastAsia="黑体" w:cs="黑体"/>
          <w:sz w:val="24"/>
        </w:rPr>
        <w:fldChar w:fldCharType="separate"/>
      </w:r>
      <w:r>
        <w:rPr>
          <w:rFonts w:hint="eastAsia" w:ascii="黑体" w:hAnsi="黑体" w:eastAsia="黑体" w:cs="黑体"/>
          <w:sz w:val="24"/>
        </w:rPr>
        <w:t>4</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"_Toc61946312" </w:instrText>
      </w:r>
      <w:r>
        <w:fldChar w:fldCharType="separate"/>
      </w:r>
      <w:r>
        <w:rPr>
          <w:rStyle w:val="21"/>
          <w:rFonts w:ascii="黑体" w:hAnsi="黑体" w:eastAsia="黑体" w:cs="黑体"/>
        </w:rPr>
        <w:t>第二章 总体要求</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_Toc61946312 \h </w:instrText>
      </w:r>
      <w:r>
        <w:rPr>
          <w:rFonts w:ascii="黑体" w:hAnsi="黑体" w:eastAsia="黑体" w:cs="黑体"/>
        </w:rPr>
        <w:fldChar w:fldCharType="separate"/>
      </w:r>
      <w:r>
        <w:rPr>
          <w:rFonts w:ascii="黑体" w:hAnsi="黑体" w:eastAsia="黑体" w:cs="黑体"/>
        </w:rPr>
        <w:t>8</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"_Toc61946313" </w:instrText>
      </w:r>
      <w:r>
        <w:fldChar w:fldCharType="separate"/>
      </w:r>
      <w:r>
        <w:rPr>
          <w:rStyle w:val="21"/>
          <w:rFonts w:hint="eastAsia" w:ascii="黑体" w:hAnsi="黑体" w:eastAsia="黑体" w:cs="黑体"/>
          <w:sz w:val="24"/>
        </w:rPr>
        <w:t>第一节 指导思想</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_Toc61946313 \h </w:instrText>
      </w:r>
      <w:r>
        <w:rPr>
          <w:rFonts w:hint="eastAsia" w:ascii="黑体" w:hAnsi="黑体" w:eastAsia="黑体" w:cs="黑体"/>
          <w:sz w:val="24"/>
        </w:rPr>
        <w:fldChar w:fldCharType="separate"/>
      </w:r>
      <w:r>
        <w:rPr>
          <w:rFonts w:hint="eastAsia" w:ascii="黑体" w:hAnsi="黑体" w:eastAsia="黑体" w:cs="黑体"/>
          <w:sz w:val="24"/>
        </w:rPr>
        <w:t>8</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"_Toc61946314" </w:instrText>
      </w:r>
      <w:r>
        <w:fldChar w:fldCharType="separate"/>
      </w:r>
      <w:r>
        <w:rPr>
          <w:rStyle w:val="21"/>
          <w:rFonts w:hint="eastAsia" w:ascii="黑体" w:hAnsi="黑体" w:eastAsia="黑体" w:cs="黑体"/>
          <w:sz w:val="24"/>
        </w:rPr>
        <w:t>第二节 基本原则</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_Toc61946314 \h </w:instrText>
      </w:r>
      <w:r>
        <w:rPr>
          <w:rFonts w:hint="eastAsia" w:ascii="黑体" w:hAnsi="黑体" w:eastAsia="黑体" w:cs="黑体"/>
          <w:sz w:val="24"/>
        </w:rPr>
        <w:fldChar w:fldCharType="separate"/>
      </w:r>
      <w:r>
        <w:rPr>
          <w:rFonts w:hint="eastAsia" w:ascii="黑体" w:hAnsi="黑体" w:eastAsia="黑体" w:cs="黑体"/>
          <w:sz w:val="24"/>
        </w:rPr>
        <w:t>8</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"_Toc61946315" </w:instrText>
      </w:r>
      <w:r>
        <w:fldChar w:fldCharType="separate"/>
      </w:r>
      <w:r>
        <w:rPr>
          <w:rStyle w:val="21"/>
          <w:rFonts w:hint="eastAsia" w:ascii="黑体" w:hAnsi="黑体" w:eastAsia="黑体" w:cs="黑体"/>
          <w:sz w:val="24"/>
        </w:rPr>
        <w:t>第三节 主要目标</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_Toc61946315 \h </w:instrText>
      </w:r>
      <w:r>
        <w:rPr>
          <w:rFonts w:hint="eastAsia" w:ascii="黑体" w:hAnsi="黑体" w:eastAsia="黑体" w:cs="黑体"/>
          <w:sz w:val="24"/>
        </w:rPr>
        <w:fldChar w:fldCharType="separate"/>
      </w:r>
      <w:r>
        <w:rPr>
          <w:rFonts w:hint="eastAsia" w:ascii="黑体" w:hAnsi="黑体" w:eastAsia="黑体" w:cs="黑体"/>
          <w:sz w:val="24"/>
        </w:rPr>
        <w:t>10</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"_Toc61946316" </w:instrText>
      </w:r>
      <w:r>
        <w:fldChar w:fldCharType="separate"/>
      </w:r>
      <w:r>
        <w:rPr>
          <w:rStyle w:val="21"/>
          <w:rFonts w:ascii="黑体" w:hAnsi="黑体" w:eastAsia="黑体" w:cs="黑体"/>
          <w:kern w:val="36"/>
          <w:shd w:val="clear" w:color="auto" w:fill="FFFFFF"/>
        </w:rPr>
        <w:t xml:space="preserve">第三章 </w:t>
      </w:r>
      <w:r>
        <w:rPr>
          <w:rStyle w:val="21"/>
          <w:rFonts w:ascii="黑体" w:hAnsi="黑体" w:eastAsia="黑体" w:cs="黑体"/>
        </w:rPr>
        <w:t xml:space="preserve">创新驱动发展 </w:t>
      </w:r>
      <w:r>
        <w:rPr>
          <w:rStyle w:val="21"/>
          <w:rFonts w:ascii="黑体" w:hAnsi="黑体" w:eastAsia="黑体" w:cs="黑体"/>
          <w:kern w:val="36"/>
          <w:shd w:val="clear" w:color="auto" w:fill="FFFFFF"/>
        </w:rPr>
        <w:t>加快打造全链条创新集聚区</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_Toc61946316 \h </w:instrText>
      </w:r>
      <w:r>
        <w:rPr>
          <w:rFonts w:ascii="黑体" w:hAnsi="黑体" w:eastAsia="黑体" w:cs="黑体"/>
        </w:rPr>
        <w:fldChar w:fldCharType="separate"/>
      </w:r>
      <w:r>
        <w:rPr>
          <w:rFonts w:ascii="黑体" w:hAnsi="黑体" w:eastAsia="黑体" w:cs="黑体"/>
        </w:rPr>
        <w:t>14</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"_Toc61946317" </w:instrText>
      </w:r>
      <w:r>
        <w:fldChar w:fldCharType="separate"/>
      </w:r>
      <w:r>
        <w:rPr>
          <w:rStyle w:val="21"/>
          <w:rFonts w:hint="eastAsia" w:ascii="黑体" w:hAnsi="黑体" w:eastAsia="黑体" w:cs="黑体"/>
          <w:sz w:val="24"/>
        </w:rPr>
        <w:t>第一节 加快完善创新生态体系</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_Toc61946317 \h </w:instrText>
      </w:r>
      <w:r>
        <w:rPr>
          <w:rFonts w:hint="eastAsia" w:ascii="黑体" w:hAnsi="黑体" w:eastAsia="黑体" w:cs="黑体"/>
          <w:sz w:val="24"/>
        </w:rPr>
        <w:fldChar w:fldCharType="separate"/>
      </w:r>
      <w:r>
        <w:rPr>
          <w:rFonts w:hint="eastAsia" w:ascii="黑体" w:hAnsi="黑体" w:eastAsia="黑体" w:cs="黑体"/>
          <w:sz w:val="24"/>
        </w:rPr>
        <w:t>14</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"_Toc61946318" </w:instrText>
      </w:r>
      <w:r>
        <w:fldChar w:fldCharType="separate"/>
      </w:r>
      <w:r>
        <w:rPr>
          <w:rStyle w:val="21"/>
          <w:rFonts w:hint="eastAsia" w:ascii="黑体" w:hAnsi="黑体" w:eastAsia="黑体" w:cs="黑体"/>
          <w:sz w:val="24"/>
        </w:rPr>
        <w:t>第二节 激发人才创新活力</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_Toc61946318 \h </w:instrText>
      </w:r>
      <w:r>
        <w:rPr>
          <w:rFonts w:hint="eastAsia" w:ascii="黑体" w:hAnsi="黑体" w:eastAsia="黑体" w:cs="黑体"/>
          <w:sz w:val="24"/>
        </w:rPr>
        <w:fldChar w:fldCharType="separate"/>
      </w:r>
      <w:r>
        <w:rPr>
          <w:rFonts w:hint="eastAsia" w:ascii="黑体" w:hAnsi="黑体" w:eastAsia="黑体" w:cs="黑体"/>
          <w:sz w:val="24"/>
        </w:rPr>
        <w:t>16</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"_Toc61946319" </w:instrText>
      </w:r>
      <w:r>
        <w:fldChar w:fldCharType="separate"/>
      </w:r>
      <w:r>
        <w:rPr>
          <w:rStyle w:val="21"/>
          <w:rFonts w:hint="eastAsia" w:ascii="黑体" w:hAnsi="黑体" w:eastAsia="黑体" w:cs="黑体"/>
          <w:sz w:val="24"/>
        </w:rPr>
        <w:t>第三节 深度参与大湾区创新</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_Toc61946319 \h </w:instrText>
      </w:r>
      <w:r>
        <w:rPr>
          <w:rFonts w:hint="eastAsia" w:ascii="黑体" w:hAnsi="黑体" w:eastAsia="黑体" w:cs="黑体"/>
          <w:sz w:val="24"/>
        </w:rPr>
        <w:fldChar w:fldCharType="separate"/>
      </w:r>
      <w:r>
        <w:rPr>
          <w:rFonts w:hint="eastAsia" w:ascii="黑体" w:hAnsi="黑体" w:eastAsia="黑体" w:cs="黑体"/>
          <w:sz w:val="24"/>
        </w:rPr>
        <w:t>17</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"_Toc61946320" </w:instrText>
      </w:r>
      <w:r>
        <w:fldChar w:fldCharType="separate"/>
      </w:r>
      <w:r>
        <w:rPr>
          <w:rStyle w:val="21"/>
          <w:rFonts w:ascii="黑体" w:hAnsi="黑体" w:eastAsia="黑体" w:cs="黑体"/>
        </w:rPr>
        <w:t>第四章 聚焦工业立区 推动现代产业高质量发展</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_Toc61946320 \h </w:instrText>
      </w:r>
      <w:r>
        <w:rPr>
          <w:rFonts w:ascii="黑体" w:hAnsi="黑体" w:eastAsia="黑体" w:cs="黑体"/>
        </w:rPr>
        <w:fldChar w:fldCharType="separate"/>
      </w:r>
      <w:r>
        <w:rPr>
          <w:rFonts w:ascii="黑体" w:hAnsi="黑体" w:eastAsia="黑体" w:cs="黑体"/>
        </w:rPr>
        <w:t>18</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"_Toc61946321" </w:instrText>
      </w:r>
      <w:r>
        <w:fldChar w:fldCharType="separate"/>
      </w:r>
      <w:r>
        <w:rPr>
          <w:rStyle w:val="21"/>
          <w:rFonts w:hint="eastAsia" w:ascii="黑体" w:hAnsi="黑体" w:eastAsia="黑体" w:cs="黑体"/>
          <w:sz w:val="24"/>
        </w:rPr>
        <w:t>第一节 做强做优三大新兴支柱产业</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_Toc61946321 \h </w:instrText>
      </w:r>
      <w:r>
        <w:rPr>
          <w:rFonts w:hint="eastAsia" w:ascii="黑体" w:hAnsi="黑体" w:eastAsia="黑体" w:cs="黑体"/>
          <w:sz w:val="24"/>
        </w:rPr>
        <w:fldChar w:fldCharType="separate"/>
      </w:r>
      <w:r>
        <w:rPr>
          <w:rFonts w:hint="eastAsia" w:ascii="黑体" w:hAnsi="黑体" w:eastAsia="黑体" w:cs="黑体"/>
          <w:sz w:val="24"/>
        </w:rPr>
        <w:t>18</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"_Toc61946322" </w:instrText>
      </w:r>
      <w:r>
        <w:fldChar w:fldCharType="separate"/>
      </w:r>
      <w:r>
        <w:rPr>
          <w:rStyle w:val="21"/>
          <w:rFonts w:hint="eastAsia" w:ascii="黑体" w:hAnsi="黑体" w:eastAsia="黑体" w:cs="黑体"/>
          <w:sz w:val="24"/>
        </w:rPr>
        <w:t>第二节 持续推进传统产业转型升级</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_Toc61946322 \h </w:instrText>
      </w:r>
      <w:r>
        <w:rPr>
          <w:rFonts w:hint="eastAsia" w:ascii="黑体" w:hAnsi="黑体" w:eastAsia="黑体" w:cs="黑体"/>
          <w:sz w:val="24"/>
        </w:rPr>
        <w:fldChar w:fldCharType="separate"/>
      </w:r>
      <w:r>
        <w:rPr>
          <w:rFonts w:hint="eastAsia" w:ascii="黑体" w:hAnsi="黑体" w:eastAsia="黑体" w:cs="黑体"/>
          <w:sz w:val="24"/>
        </w:rPr>
        <w:t>20</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"_Toc61946323" </w:instrText>
      </w:r>
      <w:r>
        <w:fldChar w:fldCharType="separate"/>
      </w:r>
      <w:r>
        <w:rPr>
          <w:rStyle w:val="21"/>
          <w:rFonts w:hint="eastAsia" w:ascii="黑体" w:hAnsi="黑体" w:eastAsia="黑体" w:cs="黑体"/>
          <w:sz w:val="24"/>
        </w:rPr>
        <w:t>第三节 打造更具竞争力的产业平台</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_Toc61946323 \h </w:instrText>
      </w:r>
      <w:r>
        <w:rPr>
          <w:rFonts w:hint="eastAsia" w:ascii="黑体" w:hAnsi="黑体" w:eastAsia="黑体" w:cs="黑体"/>
          <w:sz w:val="24"/>
        </w:rPr>
        <w:fldChar w:fldCharType="separate"/>
      </w:r>
      <w:r>
        <w:rPr>
          <w:rFonts w:hint="eastAsia" w:ascii="黑体" w:hAnsi="黑体" w:eastAsia="黑体" w:cs="黑体"/>
          <w:sz w:val="24"/>
        </w:rPr>
        <w:t>21</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"_Toc61946325" </w:instrText>
      </w:r>
      <w:r>
        <w:fldChar w:fldCharType="separate"/>
      </w:r>
      <w:r>
        <w:rPr>
          <w:rStyle w:val="21"/>
          <w:rFonts w:hint="eastAsia" w:ascii="黑体" w:hAnsi="黑体" w:eastAsia="黑体" w:cs="黑体"/>
          <w:sz w:val="24"/>
        </w:rPr>
        <w:t>第四节 加快发展现代服务业</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_Toc61946325 \h </w:instrText>
      </w:r>
      <w:r>
        <w:rPr>
          <w:rFonts w:hint="eastAsia" w:ascii="黑体" w:hAnsi="黑体" w:eastAsia="黑体" w:cs="黑体"/>
          <w:sz w:val="24"/>
        </w:rPr>
        <w:fldChar w:fldCharType="separate"/>
      </w:r>
      <w:r>
        <w:rPr>
          <w:rFonts w:hint="eastAsia" w:ascii="黑体" w:hAnsi="黑体" w:eastAsia="黑体" w:cs="黑体"/>
          <w:sz w:val="24"/>
        </w:rPr>
        <w:t>22</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"_Toc61946326" </w:instrText>
      </w:r>
      <w:r>
        <w:fldChar w:fldCharType="separate"/>
      </w:r>
      <w:r>
        <w:rPr>
          <w:rStyle w:val="21"/>
          <w:rFonts w:hint="eastAsia" w:ascii="黑体" w:hAnsi="黑体" w:eastAsia="黑体" w:cs="黑体"/>
          <w:sz w:val="24"/>
        </w:rPr>
        <w:t>第五节 大力发展数字经济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_Toc61946326 \h </w:instrText>
      </w:r>
      <w:r>
        <w:rPr>
          <w:rFonts w:hint="eastAsia" w:ascii="黑体" w:hAnsi="黑体" w:eastAsia="黑体" w:cs="黑体"/>
          <w:sz w:val="24"/>
        </w:rPr>
        <w:fldChar w:fldCharType="separate"/>
      </w:r>
      <w:r>
        <w:rPr>
          <w:rFonts w:hint="eastAsia" w:ascii="黑体" w:hAnsi="黑体" w:eastAsia="黑体" w:cs="黑体"/>
          <w:sz w:val="24"/>
        </w:rPr>
        <w:t>23</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"_Toc61946327" </w:instrText>
      </w:r>
      <w:r>
        <w:fldChar w:fldCharType="separate"/>
      </w:r>
      <w:r>
        <w:rPr>
          <w:rStyle w:val="21"/>
          <w:rFonts w:ascii="黑体" w:hAnsi="黑体" w:eastAsia="黑体" w:cs="黑体"/>
        </w:rPr>
        <w:t>第五章 促进内外联动 打造新发展格局的战略支点</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_Toc61946327 \h </w:instrText>
      </w:r>
      <w:r>
        <w:rPr>
          <w:rFonts w:ascii="黑体" w:hAnsi="黑体" w:eastAsia="黑体" w:cs="黑体"/>
        </w:rPr>
        <w:fldChar w:fldCharType="separate"/>
      </w:r>
      <w:r>
        <w:rPr>
          <w:rFonts w:ascii="黑体" w:hAnsi="黑体" w:eastAsia="黑体" w:cs="黑体"/>
        </w:rPr>
        <w:t>25</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"_Toc61946328" </w:instrText>
      </w:r>
      <w:r>
        <w:fldChar w:fldCharType="separate"/>
      </w:r>
      <w:r>
        <w:rPr>
          <w:rStyle w:val="21"/>
          <w:rFonts w:hint="eastAsia" w:ascii="黑体" w:hAnsi="黑体" w:eastAsia="黑体" w:cs="黑体"/>
          <w:sz w:val="24"/>
        </w:rPr>
        <w:t>第一节 推动畅通国内大循环</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_Toc61946328 \h </w:instrText>
      </w:r>
      <w:r>
        <w:rPr>
          <w:rFonts w:hint="eastAsia" w:ascii="黑体" w:hAnsi="黑体" w:eastAsia="黑体" w:cs="黑体"/>
          <w:sz w:val="24"/>
        </w:rPr>
        <w:fldChar w:fldCharType="separate"/>
      </w:r>
      <w:r>
        <w:rPr>
          <w:rFonts w:hint="eastAsia" w:ascii="黑体" w:hAnsi="黑体" w:eastAsia="黑体" w:cs="黑体"/>
          <w:sz w:val="24"/>
        </w:rPr>
        <w:t>25</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"_Toc61946329" </w:instrText>
      </w:r>
      <w:r>
        <w:fldChar w:fldCharType="separate"/>
      </w:r>
      <w:r>
        <w:rPr>
          <w:rStyle w:val="21"/>
          <w:rFonts w:hint="eastAsia" w:ascii="黑体" w:hAnsi="黑体" w:eastAsia="黑体" w:cs="黑体"/>
          <w:sz w:val="24"/>
        </w:rPr>
        <w:t>第二节 提升开放型经济发展水平</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_Toc61946329 \h </w:instrText>
      </w:r>
      <w:r>
        <w:rPr>
          <w:rFonts w:hint="eastAsia" w:ascii="黑体" w:hAnsi="黑体" w:eastAsia="黑体" w:cs="黑体"/>
          <w:sz w:val="24"/>
        </w:rPr>
        <w:fldChar w:fldCharType="separate"/>
      </w:r>
      <w:r>
        <w:rPr>
          <w:rFonts w:hint="eastAsia" w:ascii="黑体" w:hAnsi="黑体" w:eastAsia="黑体" w:cs="黑体"/>
          <w:sz w:val="24"/>
        </w:rPr>
        <w:t>26</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"_Toc61946330" </w:instrText>
      </w:r>
      <w:r>
        <w:fldChar w:fldCharType="separate"/>
      </w:r>
      <w:r>
        <w:rPr>
          <w:rStyle w:val="21"/>
          <w:rFonts w:hint="eastAsia" w:ascii="黑体" w:hAnsi="黑体" w:eastAsia="黑体" w:cs="黑体"/>
          <w:sz w:val="24"/>
        </w:rPr>
        <w:t>第三节 积极扩大有效投资</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_Toc61946330 \h </w:instrText>
      </w:r>
      <w:r>
        <w:rPr>
          <w:rFonts w:hint="eastAsia" w:ascii="黑体" w:hAnsi="黑体" w:eastAsia="黑体" w:cs="黑体"/>
          <w:sz w:val="24"/>
        </w:rPr>
        <w:fldChar w:fldCharType="separate"/>
      </w:r>
      <w:r>
        <w:rPr>
          <w:rFonts w:hint="eastAsia" w:ascii="黑体" w:hAnsi="黑体" w:eastAsia="黑体" w:cs="黑体"/>
          <w:sz w:val="24"/>
        </w:rPr>
        <w:t>27</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"_Toc61946331" </w:instrText>
      </w:r>
      <w:r>
        <w:fldChar w:fldCharType="separate"/>
      </w:r>
      <w:r>
        <w:rPr>
          <w:rStyle w:val="21"/>
          <w:rFonts w:hint="eastAsia" w:ascii="黑体" w:hAnsi="黑体" w:eastAsia="黑体" w:cs="黑体"/>
          <w:sz w:val="24"/>
        </w:rPr>
        <w:t>第四节 深挖消费潜力释放</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_Toc61946331 \h </w:instrText>
      </w:r>
      <w:r>
        <w:rPr>
          <w:rFonts w:hint="eastAsia" w:ascii="黑体" w:hAnsi="黑体" w:eastAsia="黑体" w:cs="黑体"/>
          <w:sz w:val="24"/>
        </w:rPr>
        <w:fldChar w:fldCharType="separate"/>
      </w:r>
      <w:r>
        <w:rPr>
          <w:rFonts w:hint="eastAsia" w:ascii="黑体" w:hAnsi="黑体" w:eastAsia="黑体" w:cs="黑体"/>
          <w:sz w:val="24"/>
        </w:rPr>
        <w:t>27</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"_Toc61946332" </w:instrText>
      </w:r>
      <w:r>
        <w:fldChar w:fldCharType="separate"/>
      </w:r>
      <w:r>
        <w:rPr>
          <w:rStyle w:val="21"/>
          <w:rFonts w:ascii="黑体" w:hAnsi="黑体" w:eastAsia="黑体" w:cs="黑体"/>
        </w:rPr>
        <w:t>第六章 全面融入“双区”建设 深入推动区域协调发展</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_Toc61946332 \h </w:instrText>
      </w:r>
      <w:r>
        <w:rPr>
          <w:rFonts w:ascii="黑体" w:hAnsi="黑体" w:eastAsia="黑体" w:cs="黑体"/>
        </w:rPr>
        <w:fldChar w:fldCharType="separate"/>
      </w:r>
      <w:r>
        <w:rPr>
          <w:rFonts w:ascii="黑体" w:hAnsi="黑体" w:eastAsia="黑体" w:cs="黑体"/>
        </w:rPr>
        <w:t>29</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"_Toc61946333" </w:instrText>
      </w:r>
      <w:r>
        <w:fldChar w:fldCharType="separate"/>
      </w:r>
      <w:r>
        <w:rPr>
          <w:rStyle w:val="21"/>
          <w:rFonts w:hint="eastAsia" w:ascii="黑体" w:hAnsi="黑体" w:eastAsia="黑体" w:cs="黑体"/>
          <w:sz w:val="24"/>
        </w:rPr>
        <w:t>第一节 全力投入“双区”建设</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_Toc61946333 \h </w:instrText>
      </w:r>
      <w:r>
        <w:rPr>
          <w:rFonts w:hint="eastAsia" w:ascii="黑体" w:hAnsi="黑体" w:eastAsia="黑体" w:cs="黑体"/>
          <w:sz w:val="24"/>
        </w:rPr>
        <w:fldChar w:fldCharType="separate"/>
      </w:r>
      <w:r>
        <w:rPr>
          <w:rFonts w:hint="eastAsia" w:ascii="黑体" w:hAnsi="黑体" w:eastAsia="黑体" w:cs="黑体"/>
          <w:sz w:val="24"/>
        </w:rPr>
        <w:t>29</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"_Toc61946334" </w:instrText>
      </w:r>
      <w:r>
        <w:fldChar w:fldCharType="separate"/>
      </w:r>
      <w:r>
        <w:rPr>
          <w:rStyle w:val="21"/>
          <w:rFonts w:hint="eastAsia" w:ascii="黑体" w:hAnsi="黑体" w:eastAsia="黑体" w:cs="黑体"/>
          <w:sz w:val="24"/>
        </w:rPr>
        <w:t>第二节 积极推进“三区并进”</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_Toc61946334 \h </w:instrText>
      </w:r>
      <w:r>
        <w:rPr>
          <w:rFonts w:hint="eastAsia" w:ascii="黑体" w:hAnsi="黑体" w:eastAsia="黑体" w:cs="黑体"/>
          <w:sz w:val="24"/>
        </w:rPr>
        <w:fldChar w:fldCharType="separate"/>
      </w:r>
      <w:r>
        <w:rPr>
          <w:rFonts w:hint="eastAsia" w:ascii="黑体" w:hAnsi="黑体" w:eastAsia="黑体" w:cs="黑体"/>
          <w:sz w:val="24"/>
        </w:rPr>
        <w:t>30</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"_Toc61946335" </w:instrText>
      </w:r>
      <w:r>
        <w:fldChar w:fldCharType="separate"/>
      </w:r>
      <w:r>
        <w:rPr>
          <w:rStyle w:val="21"/>
          <w:rFonts w:hint="eastAsia" w:ascii="黑体" w:hAnsi="黑体" w:eastAsia="黑体" w:cs="黑体"/>
          <w:sz w:val="24"/>
        </w:rPr>
        <w:t>第三节 构建“一带两核三组团”空间格局</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_Toc61946335 \h </w:instrText>
      </w:r>
      <w:r>
        <w:rPr>
          <w:rFonts w:hint="eastAsia" w:ascii="黑体" w:hAnsi="黑体" w:eastAsia="黑体" w:cs="黑体"/>
          <w:sz w:val="24"/>
        </w:rPr>
        <w:fldChar w:fldCharType="separate"/>
      </w:r>
      <w:r>
        <w:rPr>
          <w:rFonts w:hint="eastAsia" w:ascii="黑体" w:hAnsi="黑体" w:eastAsia="黑体" w:cs="黑体"/>
          <w:sz w:val="24"/>
        </w:rPr>
        <w:t>31</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"_Toc61946336" </w:instrText>
      </w:r>
      <w:r>
        <w:fldChar w:fldCharType="separate"/>
      </w:r>
      <w:r>
        <w:rPr>
          <w:rStyle w:val="21"/>
          <w:rFonts w:hint="eastAsia" w:ascii="黑体" w:hAnsi="黑体" w:eastAsia="黑体" w:cs="黑体"/>
          <w:sz w:val="24"/>
        </w:rPr>
        <w:t>第四节 深入实施新型城镇化战略</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_Toc61946336 \h </w:instrText>
      </w:r>
      <w:r>
        <w:rPr>
          <w:rFonts w:hint="eastAsia" w:ascii="黑体" w:hAnsi="黑体" w:eastAsia="黑体" w:cs="黑体"/>
          <w:sz w:val="24"/>
        </w:rPr>
        <w:fldChar w:fldCharType="separate"/>
      </w:r>
      <w:r>
        <w:rPr>
          <w:rFonts w:hint="eastAsia" w:ascii="黑体" w:hAnsi="黑体" w:eastAsia="黑体" w:cs="黑体"/>
          <w:sz w:val="24"/>
        </w:rPr>
        <w:t>33</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"_Toc61946337" </w:instrText>
      </w:r>
      <w:r>
        <w:fldChar w:fldCharType="separate"/>
      </w:r>
      <w:r>
        <w:rPr>
          <w:rStyle w:val="21"/>
          <w:rFonts w:ascii="黑体" w:hAnsi="黑体" w:eastAsia="黑体" w:cs="黑体"/>
        </w:rPr>
        <w:t>第七章 强化交通先行 建设现代化基础设施体系</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_Toc61946337 \h </w:instrText>
      </w:r>
      <w:r>
        <w:rPr>
          <w:rFonts w:ascii="黑体" w:hAnsi="黑体" w:eastAsia="黑体" w:cs="黑体"/>
        </w:rPr>
        <w:fldChar w:fldCharType="separate"/>
      </w:r>
      <w:r>
        <w:rPr>
          <w:rFonts w:ascii="黑体" w:hAnsi="黑体" w:eastAsia="黑体" w:cs="黑体"/>
        </w:rPr>
        <w:t>35</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"_Toc61946338" </w:instrText>
      </w:r>
      <w:r>
        <w:fldChar w:fldCharType="separate"/>
      </w:r>
      <w:r>
        <w:rPr>
          <w:rStyle w:val="21"/>
          <w:rFonts w:hint="eastAsia" w:ascii="黑体" w:hAnsi="黑体" w:eastAsia="黑体" w:cs="黑体"/>
          <w:sz w:val="24"/>
        </w:rPr>
        <w:t>第一节 构建内联外通的枢纽型综合交通</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_Toc61946338 \h </w:instrText>
      </w:r>
      <w:r>
        <w:rPr>
          <w:rFonts w:hint="eastAsia" w:ascii="黑体" w:hAnsi="黑体" w:eastAsia="黑体" w:cs="黑体"/>
          <w:sz w:val="24"/>
        </w:rPr>
        <w:fldChar w:fldCharType="separate"/>
      </w:r>
      <w:r>
        <w:rPr>
          <w:rFonts w:hint="eastAsia" w:ascii="黑体" w:hAnsi="黑体" w:eastAsia="黑体" w:cs="黑体"/>
          <w:sz w:val="24"/>
        </w:rPr>
        <w:t>35</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sectPr>
          <w:footerReference r:id="rId4" w:type="default"/>
          <w:pgSz w:w="11906" w:h="16838"/>
          <w:pgMar w:top="1418" w:right="1701" w:bottom="1418" w:left="1701" w:header="851" w:footer="992" w:gutter="0"/>
          <w:pgNumType w:fmt="decimal" w:start="1"/>
          <w:cols w:space="720" w:num="1"/>
          <w:docGrid w:type="lines" w:linePitch="312" w:charSpace="0"/>
        </w:sectPr>
      </w:pP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"_Toc61946339" </w:instrText>
      </w:r>
      <w:r>
        <w:fldChar w:fldCharType="separate"/>
      </w:r>
      <w:r>
        <w:rPr>
          <w:rStyle w:val="21"/>
          <w:rFonts w:hint="eastAsia" w:ascii="黑体" w:hAnsi="黑体" w:eastAsia="黑体" w:cs="黑体"/>
          <w:sz w:val="24"/>
        </w:rPr>
        <w:t>第二节 完善基础设施建设</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_Toc61946339 \h </w:instrText>
      </w:r>
      <w:r>
        <w:rPr>
          <w:rFonts w:hint="eastAsia" w:ascii="黑体" w:hAnsi="黑体" w:eastAsia="黑体" w:cs="黑体"/>
          <w:sz w:val="24"/>
        </w:rPr>
        <w:fldChar w:fldCharType="separate"/>
      </w:r>
      <w:r>
        <w:rPr>
          <w:rFonts w:hint="eastAsia" w:ascii="黑体" w:hAnsi="黑体" w:eastAsia="黑体" w:cs="黑体"/>
          <w:sz w:val="24"/>
        </w:rPr>
        <w:t>37</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"_Toc61946340" </w:instrText>
      </w:r>
      <w:r>
        <w:fldChar w:fldCharType="separate"/>
      </w:r>
      <w:r>
        <w:rPr>
          <w:rStyle w:val="21"/>
          <w:rFonts w:hint="eastAsia" w:ascii="黑体" w:hAnsi="黑体" w:eastAsia="黑体" w:cs="黑体"/>
          <w:sz w:val="24"/>
        </w:rPr>
        <w:t>第三节 建设新型智慧城区</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_Toc61946340 \h </w:instrText>
      </w:r>
      <w:r>
        <w:rPr>
          <w:rFonts w:hint="eastAsia" w:ascii="黑体" w:hAnsi="黑体" w:eastAsia="黑体" w:cs="黑体"/>
          <w:sz w:val="24"/>
        </w:rPr>
        <w:fldChar w:fldCharType="separate"/>
      </w:r>
      <w:r>
        <w:rPr>
          <w:rFonts w:hint="eastAsia" w:ascii="黑体" w:hAnsi="黑体" w:eastAsia="黑体" w:cs="黑体"/>
          <w:sz w:val="24"/>
        </w:rPr>
        <w:t>38</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"_Toc61946341" </w:instrText>
      </w:r>
      <w:r>
        <w:fldChar w:fldCharType="separate"/>
      </w:r>
      <w:r>
        <w:rPr>
          <w:rStyle w:val="21"/>
          <w:rFonts w:ascii="黑体" w:hAnsi="黑体" w:eastAsia="黑体" w:cs="黑体"/>
        </w:rPr>
        <w:t>第八章 全面深化改革 激发现代化建设新活力</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_Toc61946341 \h </w:instrText>
      </w:r>
      <w:r>
        <w:rPr>
          <w:rFonts w:ascii="黑体" w:hAnsi="黑体" w:eastAsia="黑体" w:cs="黑体"/>
        </w:rPr>
        <w:fldChar w:fldCharType="separate"/>
      </w:r>
      <w:r>
        <w:rPr>
          <w:rFonts w:ascii="黑体" w:hAnsi="黑体" w:eastAsia="黑体" w:cs="黑体"/>
        </w:rPr>
        <w:t>39</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"_Toc61946342" </w:instrText>
      </w:r>
      <w:r>
        <w:fldChar w:fldCharType="separate"/>
      </w:r>
      <w:r>
        <w:rPr>
          <w:rStyle w:val="21"/>
          <w:rFonts w:hint="eastAsia" w:ascii="黑体" w:hAnsi="黑体" w:eastAsia="黑体" w:cs="黑体"/>
          <w:sz w:val="24"/>
        </w:rPr>
        <w:t>第一节 强化重点领域改革</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_Toc61946342 \h </w:instrText>
      </w:r>
      <w:r>
        <w:rPr>
          <w:rFonts w:hint="eastAsia" w:ascii="黑体" w:hAnsi="黑体" w:eastAsia="黑体" w:cs="黑体"/>
          <w:sz w:val="24"/>
        </w:rPr>
        <w:fldChar w:fldCharType="separate"/>
      </w:r>
      <w:r>
        <w:rPr>
          <w:rFonts w:hint="eastAsia" w:ascii="黑体" w:hAnsi="黑体" w:eastAsia="黑体" w:cs="黑体"/>
          <w:sz w:val="24"/>
        </w:rPr>
        <w:t>39</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"_Toc61946343" </w:instrText>
      </w:r>
      <w:r>
        <w:fldChar w:fldCharType="separate"/>
      </w:r>
      <w:r>
        <w:rPr>
          <w:rStyle w:val="21"/>
          <w:rFonts w:hint="eastAsia" w:ascii="黑体" w:hAnsi="黑体" w:eastAsia="黑体" w:cs="黑体"/>
          <w:sz w:val="24"/>
        </w:rPr>
        <w:t>第二节 全面激发市场主体活力</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_Toc61946343 \h </w:instrText>
      </w:r>
      <w:r>
        <w:rPr>
          <w:rFonts w:hint="eastAsia" w:ascii="黑体" w:hAnsi="黑体" w:eastAsia="黑体" w:cs="黑体"/>
          <w:sz w:val="24"/>
        </w:rPr>
        <w:fldChar w:fldCharType="separate"/>
      </w:r>
      <w:r>
        <w:rPr>
          <w:rFonts w:hint="eastAsia" w:ascii="黑体" w:hAnsi="黑体" w:eastAsia="黑体" w:cs="黑体"/>
          <w:sz w:val="24"/>
        </w:rPr>
        <w:t>40</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"_Toc61946344" </w:instrText>
      </w:r>
      <w:r>
        <w:fldChar w:fldCharType="separate"/>
      </w:r>
      <w:r>
        <w:rPr>
          <w:rStyle w:val="21"/>
          <w:rFonts w:hint="eastAsia" w:ascii="黑体" w:hAnsi="黑体" w:eastAsia="黑体" w:cs="黑体"/>
          <w:sz w:val="24"/>
        </w:rPr>
        <w:t>第三节 大力优化营商环境</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_Toc61946344 \h </w:instrText>
      </w:r>
      <w:r>
        <w:rPr>
          <w:rFonts w:hint="eastAsia" w:ascii="黑体" w:hAnsi="黑体" w:eastAsia="黑体" w:cs="黑体"/>
          <w:sz w:val="24"/>
        </w:rPr>
        <w:fldChar w:fldCharType="separate"/>
      </w:r>
      <w:r>
        <w:rPr>
          <w:rFonts w:hint="eastAsia" w:ascii="黑体" w:hAnsi="黑体" w:eastAsia="黑体" w:cs="黑体"/>
          <w:sz w:val="24"/>
        </w:rPr>
        <w:t>40</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"_Toc61946345" </w:instrText>
      </w:r>
      <w:r>
        <w:fldChar w:fldCharType="separate"/>
      </w:r>
      <w:r>
        <w:rPr>
          <w:rStyle w:val="21"/>
          <w:rFonts w:ascii="黑体" w:hAnsi="黑体" w:eastAsia="黑体" w:cs="黑体"/>
          <w:kern w:val="44"/>
        </w:rPr>
        <w:t>第九章 力促乡村振兴 加快农业农村现代化</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_Toc61946345 \h </w:instrText>
      </w:r>
      <w:r>
        <w:rPr>
          <w:rFonts w:ascii="黑体" w:hAnsi="黑体" w:eastAsia="黑体" w:cs="黑体"/>
        </w:rPr>
        <w:fldChar w:fldCharType="separate"/>
      </w:r>
      <w:r>
        <w:rPr>
          <w:rFonts w:ascii="黑体" w:hAnsi="黑体" w:eastAsia="黑体" w:cs="黑体"/>
        </w:rPr>
        <w:t>43</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"_Toc61946346" </w:instrText>
      </w:r>
      <w:r>
        <w:fldChar w:fldCharType="separate"/>
      </w:r>
      <w:r>
        <w:rPr>
          <w:rStyle w:val="21"/>
          <w:rFonts w:hint="eastAsia" w:ascii="黑体" w:hAnsi="黑体" w:eastAsia="黑体" w:cs="黑体"/>
          <w:sz w:val="24"/>
        </w:rPr>
        <w:t>第一节</w:t>
      </w:r>
      <w:r>
        <w:rPr>
          <w:rStyle w:val="21"/>
          <w:rFonts w:hint="eastAsia" w:ascii="黑体" w:hAnsi="黑体" w:eastAsia="黑体" w:cs="黑体"/>
          <w:sz w:val="24"/>
          <w:lang w:val="en-US" w:eastAsia="zh-CN"/>
        </w:rPr>
        <w:t xml:space="preserve"> </w:t>
      </w:r>
      <w:r>
        <w:rPr>
          <w:rStyle w:val="21"/>
          <w:rFonts w:hint="eastAsia" w:ascii="黑体" w:hAnsi="黑体" w:eastAsia="黑体" w:cs="黑体"/>
          <w:sz w:val="24"/>
        </w:rPr>
        <w:t>提高农业现代化水平</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_Toc61946346 \h </w:instrText>
      </w:r>
      <w:r>
        <w:rPr>
          <w:rFonts w:hint="eastAsia" w:ascii="黑体" w:hAnsi="黑体" w:eastAsia="黑体" w:cs="黑体"/>
          <w:sz w:val="24"/>
        </w:rPr>
        <w:fldChar w:fldCharType="separate"/>
      </w:r>
      <w:r>
        <w:rPr>
          <w:rFonts w:hint="eastAsia" w:ascii="黑体" w:hAnsi="黑体" w:eastAsia="黑体" w:cs="黑体"/>
          <w:sz w:val="24"/>
        </w:rPr>
        <w:t>43</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"_Toc61946347" </w:instrText>
      </w:r>
      <w:r>
        <w:fldChar w:fldCharType="separate"/>
      </w:r>
      <w:r>
        <w:rPr>
          <w:rStyle w:val="21"/>
          <w:rFonts w:hint="eastAsia" w:ascii="黑体" w:hAnsi="黑体" w:eastAsia="黑体" w:cs="黑体"/>
          <w:sz w:val="24"/>
        </w:rPr>
        <w:t>第二节 加快实施乡村建设行动</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_Toc61946347 \h </w:instrText>
      </w:r>
      <w:r>
        <w:rPr>
          <w:rFonts w:hint="eastAsia" w:ascii="黑体" w:hAnsi="黑体" w:eastAsia="黑体" w:cs="黑体"/>
          <w:sz w:val="24"/>
        </w:rPr>
        <w:fldChar w:fldCharType="separate"/>
      </w:r>
      <w:r>
        <w:rPr>
          <w:rFonts w:hint="eastAsia" w:ascii="黑体" w:hAnsi="黑体" w:eastAsia="黑体" w:cs="黑体"/>
          <w:sz w:val="24"/>
        </w:rPr>
        <w:t>44</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"_Toc61946348" </w:instrText>
      </w:r>
      <w:r>
        <w:fldChar w:fldCharType="separate"/>
      </w:r>
      <w:r>
        <w:rPr>
          <w:rStyle w:val="21"/>
          <w:rFonts w:hint="eastAsia" w:ascii="黑体" w:hAnsi="黑体" w:eastAsia="黑体" w:cs="黑体"/>
          <w:sz w:val="24"/>
        </w:rPr>
        <w:t>第三节 全面深化农村改革</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_Toc61946348 \h </w:instrText>
      </w:r>
      <w:r>
        <w:rPr>
          <w:rFonts w:hint="eastAsia" w:ascii="黑体" w:hAnsi="黑体" w:eastAsia="黑体" w:cs="黑体"/>
          <w:sz w:val="24"/>
        </w:rPr>
        <w:fldChar w:fldCharType="separate"/>
      </w:r>
      <w:r>
        <w:rPr>
          <w:rFonts w:hint="eastAsia" w:ascii="黑体" w:hAnsi="黑体" w:eastAsia="黑体" w:cs="黑体"/>
          <w:sz w:val="24"/>
        </w:rPr>
        <w:t>46</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"_Toc61946349" </w:instrText>
      </w:r>
      <w:r>
        <w:fldChar w:fldCharType="separate"/>
      </w:r>
      <w:r>
        <w:rPr>
          <w:rStyle w:val="21"/>
          <w:rFonts w:ascii="黑体" w:hAnsi="黑体" w:eastAsia="黑体" w:cs="黑体"/>
          <w:kern w:val="36"/>
          <w:shd w:val="clear" w:color="auto" w:fill="FFFFFF"/>
        </w:rPr>
        <w:t>第十章 坚持绿色发展 持续深化生态文明建设</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_Toc61946349 \h </w:instrText>
      </w:r>
      <w:r>
        <w:rPr>
          <w:rFonts w:ascii="黑体" w:hAnsi="黑体" w:eastAsia="黑体" w:cs="黑体"/>
        </w:rPr>
        <w:fldChar w:fldCharType="separate"/>
      </w:r>
      <w:r>
        <w:rPr>
          <w:rFonts w:ascii="黑体" w:hAnsi="黑体" w:eastAsia="黑体" w:cs="黑体"/>
        </w:rPr>
        <w:t>48</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"_Toc61946350" </w:instrText>
      </w:r>
      <w:r>
        <w:fldChar w:fldCharType="separate"/>
      </w:r>
      <w:r>
        <w:rPr>
          <w:rStyle w:val="21"/>
          <w:rFonts w:hint="eastAsia" w:ascii="黑体" w:hAnsi="黑体" w:eastAsia="黑体" w:cs="黑体"/>
          <w:sz w:val="24"/>
        </w:rPr>
        <w:t>第一节 加强环境治理和保护</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_Toc61946350 \h </w:instrText>
      </w:r>
      <w:r>
        <w:rPr>
          <w:rFonts w:hint="eastAsia" w:ascii="黑体" w:hAnsi="黑体" w:eastAsia="黑体" w:cs="黑体"/>
          <w:sz w:val="24"/>
        </w:rPr>
        <w:fldChar w:fldCharType="separate"/>
      </w:r>
      <w:r>
        <w:rPr>
          <w:rFonts w:hint="eastAsia" w:ascii="黑体" w:hAnsi="黑体" w:eastAsia="黑体" w:cs="黑体"/>
          <w:sz w:val="24"/>
        </w:rPr>
        <w:t>48</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"_Toc61946351" </w:instrText>
      </w:r>
      <w:r>
        <w:fldChar w:fldCharType="separate"/>
      </w:r>
      <w:r>
        <w:rPr>
          <w:rStyle w:val="21"/>
          <w:rFonts w:hint="eastAsia" w:ascii="黑体" w:hAnsi="黑体" w:eastAsia="黑体" w:cs="黑体"/>
          <w:sz w:val="24"/>
        </w:rPr>
        <w:t>第二节 着力推进绿色低碳发展</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_Toc61946351 \h </w:instrText>
      </w:r>
      <w:r>
        <w:rPr>
          <w:rFonts w:hint="eastAsia" w:ascii="黑体" w:hAnsi="黑体" w:eastAsia="黑体" w:cs="黑体"/>
          <w:sz w:val="24"/>
        </w:rPr>
        <w:fldChar w:fldCharType="separate"/>
      </w:r>
      <w:r>
        <w:rPr>
          <w:rFonts w:hint="eastAsia" w:ascii="黑体" w:hAnsi="黑体" w:eastAsia="黑体" w:cs="黑体"/>
          <w:sz w:val="24"/>
        </w:rPr>
        <w:t>49</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"_Toc61946352" </w:instrText>
      </w:r>
      <w:r>
        <w:fldChar w:fldCharType="separate"/>
      </w:r>
      <w:r>
        <w:rPr>
          <w:rStyle w:val="21"/>
          <w:rFonts w:ascii="黑体" w:hAnsi="黑体" w:eastAsia="黑体" w:cs="黑体"/>
          <w:kern w:val="36"/>
          <w:shd w:val="clear" w:color="auto" w:fill="FFFFFF"/>
        </w:rPr>
        <w:t>第十一章 打造文化强区 提升历史文化名城影响力</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_Toc61946352 \h </w:instrText>
      </w:r>
      <w:r>
        <w:rPr>
          <w:rFonts w:ascii="黑体" w:hAnsi="黑体" w:eastAsia="黑体" w:cs="黑体"/>
        </w:rPr>
        <w:fldChar w:fldCharType="separate"/>
      </w:r>
      <w:r>
        <w:rPr>
          <w:rFonts w:ascii="黑体" w:hAnsi="黑体" w:eastAsia="黑体" w:cs="黑体"/>
        </w:rPr>
        <w:t>51</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"_Toc61946353" </w:instrText>
      </w:r>
      <w:r>
        <w:fldChar w:fldCharType="separate"/>
      </w:r>
      <w:r>
        <w:rPr>
          <w:rStyle w:val="21"/>
          <w:rFonts w:hint="eastAsia" w:ascii="黑体" w:hAnsi="黑体" w:eastAsia="黑体" w:cs="黑体"/>
          <w:sz w:val="24"/>
        </w:rPr>
        <w:t>第一节 提高社会文明程度</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_Toc61946353 \h </w:instrText>
      </w:r>
      <w:r>
        <w:rPr>
          <w:rFonts w:hint="eastAsia" w:ascii="黑体" w:hAnsi="黑体" w:eastAsia="黑体" w:cs="黑体"/>
          <w:sz w:val="24"/>
        </w:rPr>
        <w:fldChar w:fldCharType="separate"/>
      </w:r>
      <w:r>
        <w:rPr>
          <w:rFonts w:hint="eastAsia" w:ascii="黑体" w:hAnsi="黑体" w:eastAsia="黑体" w:cs="黑体"/>
          <w:sz w:val="24"/>
        </w:rPr>
        <w:t>51</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"_Toc61946354" </w:instrText>
      </w:r>
      <w:r>
        <w:fldChar w:fldCharType="separate"/>
      </w:r>
      <w:r>
        <w:rPr>
          <w:rStyle w:val="21"/>
          <w:rFonts w:hint="eastAsia" w:ascii="黑体" w:hAnsi="黑体" w:eastAsia="黑体" w:cs="黑体"/>
          <w:sz w:val="24"/>
        </w:rPr>
        <w:t>第二节 大力发展文化事业</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_Toc61946354 \h </w:instrText>
      </w:r>
      <w:r>
        <w:rPr>
          <w:rFonts w:hint="eastAsia" w:ascii="黑体" w:hAnsi="黑体" w:eastAsia="黑体" w:cs="黑体"/>
          <w:sz w:val="24"/>
        </w:rPr>
        <w:fldChar w:fldCharType="separate"/>
      </w:r>
      <w:r>
        <w:rPr>
          <w:rFonts w:hint="eastAsia" w:ascii="黑体" w:hAnsi="黑体" w:eastAsia="黑体" w:cs="黑体"/>
          <w:sz w:val="24"/>
        </w:rPr>
        <w:t>52</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"_Toc61946355" </w:instrText>
      </w:r>
      <w:r>
        <w:fldChar w:fldCharType="separate"/>
      </w:r>
      <w:r>
        <w:rPr>
          <w:rStyle w:val="21"/>
          <w:rFonts w:hint="eastAsia" w:ascii="黑体" w:hAnsi="黑体" w:eastAsia="黑体" w:cs="黑体"/>
          <w:sz w:val="24"/>
        </w:rPr>
        <w:t>第三节 塑造葵城新形象</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_Toc61946355 \h </w:instrText>
      </w:r>
      <w:r>
        <w:rPr>
          <w:rFonts w:hint="eastAsia" w:ascii="黑体" w:hAnsi="黑体" w:eastAsia="黑体" w:cs="黑体"/>
          <w:sz w:val="24"/>
        </w:rPr>
        <w:fldChar w:fldCharType="separate"/>
      </w:r>
      <w:r>
        <w:rPr>
          <w:rFonts w:hint="eastAsia" w:ascii="黑体" w:hAnsi="黑体" w:eastAsia="黑体" w:cs="黑体"/>
          <w:sz w:val="24"/>
        </w:rPr>
        <w:t>53</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"_Toc61946356" </w:instrText>
      </w:r>
      <w:r>
        <w:fldChar w:fldCharType="separate"/>
      </w:r>
      <w:r>
        <w:rPr>
          <w:rStyle w:val="21"/>
          <w:rFonts w:ascii="黑体" w:hAnsi="黑体" w:eastAsia="黑体" w:cs="黑体"/>
        </w:rPr>
        <w:t>第十二章 扩大民生供给 改善人民生活品质</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_Toc61946356 \h </w:instrText>
      </w:r>
      <w:r>
        <w:rPr>
          <w:rFonts w:ascii="黑体" w:hAnsi="黑体" w:eastAsia="黑体" w:cs="黑体"/>
        </w:rPr>
        <w:fldChar w:fldCharType="separate"/>
      </w:r>
      <w:r>
        <w:rPr>
          <w:rFonts w:ascii="黑体" w:hAnsi="黑体" w:eastAsia="黑体" w:cs="黑体"/>
        </w:rPr>
        <w:t>55</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"_Toc61946357" </w:instrText>
      </w:r>
      <w:r>
        <w:fldChar w:fldCharType="separate"/>
      </w:r>
      <w:r>
        <w:rPr>
          <w:rStyle w:val="21"/>
          <w:rFonts w:hint="eastAsia" w:ascii="黑体" w:hAnsi="黑体" w:eastAsia="黑体" w:cs="黑体"/>
          <w:sz w:val="24"/>
        </w:rPr>
        <w:t>第一节 提高收入和就业水平</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_Toc61946357 \h </w:instrText>
      </w:r>
      <w:r>
        <w:rPr>
          <w:rFonts w:hint="eastAsia" w:ascii="黑体" w:hAnsi="黑体" w:eastAsia="黑体" w:cs="黑体"/>
          <w:sz w:val="24"/>
        </w:rPr>
        <w:fldChar w:fldCharType="separate"/>
      </w:r>
      <w:r>
        <w:rPr>
          <w:rFonts w:hint="eastAsia" w:ascii="黑体" w:hAnsi="黑体" w:eastAsia="黑体" w:cs="黑体"/>
          <w:sz w:val="24"/>
        </w:rPr>
        <w:t>55</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"_Toc61946358" </w:instrText>
      </w:r>
      <w:r>
        <w:fldChar w:fldCharType="separate"/>
      </w:r>
      <w:r>
        <w:rPr>
          <w:rStyle w:val="21"/>
          <w:rFonts w:hint="eastAsia" w:ascii="黑体" w:hAnsi="黑体" w:eastAsia="黑体" w:cs="黑体"/>
          <w:sz w:val="24"/>
        </w:rPr>
        <w:t>第二节 完善社会保障体系</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_Toc61946358 \h </w:instrText>
      </w:r>
      <w:r>
        <w:rPr>
          <w:rFonts w:hint="eastAsia" w:ascii="黑体" w:hAnsi="黑体" w:eastAsia="黑体" w:cs="黑体"/>
          <w:sz w:val="24"/>
        </w:rPr>
        <w:fldChar w:fldCharType="separate"/>
      </w:r>
      <w:r>
        <w:rPr>
          <w:rFonts w:hint="eastAsia" w:ascii="黑体" w:hAnsi="黑体" w:eastAsia="黑体" w:cs="黑体"/>
          <w:sz w:val="24"/>
        </w:rPr>
        <w:t>56</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"_Toc61946359" </w:instrText>
      </w:r>
      <w:r>
        <w:fldChar w:fldCharType="separate"/>
      </w:r>
      <w:r>
        <w:rPr>
          <w:rStyle w:val="21"/>
          <w:rFonts w:hint="eastAsia" w:ascii="黑体" w:hAnsi="黑体" w:eastAsia="黑体" w:cs="黑体"/>
          <w:sz w:val="24"/>
        </w:rPr>
        <w:t>第三节 保障妇女、未成年人和残疾人权益</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_Toc61946359 \h </w:instrText>
      </w:r>
      <w:r>
        <w:rPr>
          <w:rFonts w:hint="eastAsia" w:ascii="黑体" w:hAnsi="黑体" w:eastAsia="黑体" w:cs="黑体"/>
          <w:sz w:val="24"/>
        </w:rPr>
        <w:fldChar w:fldCharType="separate"/>
      </w:r>
      <w:r>
        <w:rPr>
          <w:rFonts w:hint="eastAsia" w:ascii="黑体" w:hAnsi="黑体" w:eastAsia="黑体" w:cs="黑体"/>
          <w:sz w:val="24"/>
        </w:rPr>
        <w:t>57</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"_Toc61946360" </w:instrText>
      </w:r>
      <w:r>
        <w:fldChar w:fldCharType="separate"/>
      </w:r>
      <w:r>
        <w:rPr>
          <w:rStyle w:val="21"/>
          <w:rFonts w:hint="eastAsia" w:ascii="黑体" w:hAnsi="黑体" w:eastAsia="黑体" w:cs="黑体"/>
          <w:sz w:val="24"/>
        </w:rPr>
        <w:t>第四节 加快推进教育现代化</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_Toc61946360 \h </w:instrText>
      </w:r>
      <w:r>
        <w:rPr>
          <w:rFonts w:hint="eastAsia" w:ascii="黑体" w:hAnsi="黑体" w:eastAsia="黑体" w:cs="黑体"/>
          <w:sz w:val="24"/>
        </w:rPr>
        <w:fldChar w:fldCharType="separate"/>
      </w:r>
      <w:r>
        <w:rPr>
          <w:rFonts w:hint="eastAsia" w:ascii="黑体" w:hAnsi="黑体" w:eastAsia="黑体" w:cs="黑体"/>
          <w:sz w:val="24"/>
        </w:rPr>
        <w:t>59</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"_Toc61946361" </w:instrText>
      </w:r>
      <w:r>
        <w:fldChar w:fldCharType="separate"/>
      </w:r>
      <w:r>
        <w:rPr>
          <w:rStyle w:val="21"/>
          <w:rFonts w:hint="eastAsia" w:ascii="黑体" w:hAnsi="黑体" w:eastAsia="黑体" w:cs="黑体"/>
          <w:sz w:val="24"/>
        </w:rPr>
        <w:t>第五节 推进卫生健康高质量发展</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_Toc61946361 \h </w:instrText>
      </w:r>
      <w:r>
        <w:rPr>
          <w:rFonts w:hint="eastAsia" w:ascii="黑体" w:hAnsi="黑体" w:eastAsia="黑体" w:cs="黑体"/>
          <w:sz w:val="24"/>
        </w:rPr>
        <w:fldChar w:fldCharType="separate"/>
      </w:r>
      <w:r>
        <w:rPr>
          <w:rFonts w:hint="eastAsia" w:ascii="黑体" w:hAnsi="黑体" w:eastAsia="黑体" w:cs="黑体"/>
          <w:sz w:val="24"/>
        </w:rPr>
        <w:t>60</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"_Toc61946362" </w:instrText>
      </w:r>
      <w:r>
        <w:fldChar w:fldCharType="separate"/>
      </w:r>
      <w:r>
        <w:rPr>
          <w:rStyle w:val="21"/>
          <w:rFonts w:hint="eastAsia" w:ascii="黑体" w:hAnsi="黑体" w:eastAsia="黑体" w:cs="黑体"/>
          <w:sz w:val="24"/>
        </w:rPr>
        <w:t>第六节 加强和创新社会治理</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_Toc61946362 \h </w:instrText>
      </w:r>
      <w:r>
        <w:rPr>
          <w:rFonts w:hint="eastAsia" w:ascii="黑体" w:hAnsi="黑体" w:eastAsia="黑体" w:cs="黑体"/>
          <w:sz w:val="24"/>
        </w:rPr>
        <w:fldChar w:fldCharType="separate"/>
      </w:r>
      <w:r>
        <w:rPr>
          <w:rFonts w:hint="eastAsia" w:ascii="黑体" w:hAnsi="黑体" w:eastAsia="黑体" w:cs="黑体"/>
          <w:sz w:val="24"/>
        </w:rPr>
        <w:t>62</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"_Toc61946363" </w:instrText>
      </w:r>
      <w:r>
        <w:fldChar w:fldCharType="separate"/>
      </w:r>
      <w:r>
        <w:rPr>
          <w:rStyle w:val="21"/>
          <w:rFonts w:ascii="黑体" w:hAnsi="黑体" w:eastAsia="黑体" w:cs="黑体"/>
        </w:rPr>
        <w:t>第十三章 统筹发展和安全 建设更高水平的平安新会</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_Toc61946363 \h </w:instrText>
      </w:r>
      <w:r>
        <w:rPr>
          <w:rFonts w:ascii="黑体" w:hAnsi="黑体" w:eastAsia="黑体" w:cs="黑体"/>
        </w:rPr>
        <w:fldChar w:fldCharType="separate"/>
      </w:r>
      <w:r>
        <w:rPr>
          <w:rFonts w:ascii="黑体" w:hAnsi="黑体" w:eastAsia="黑体" w:cs="黑体"/>
        </w:rPr>
        <w:t>63</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"_Toc61946364" </w:instrText>
      </w:r>
      <w:r>
        <w:fldChar w:fldCharType="separate"/>
      </w:r>
      <w:r>
        <w:rPr>
          <w:rStyle w:val="21"/>
          <w:rFonts w:hint="eastAsia" w:ascii="黑体" w:hAnsi="黑体" w:eastAsia="黑体" w:cs="黑体"/>
          <w:sz w:val="24"/>
        </w:rPr>
        <w:t>第一节 坚决守住安全发展底线</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_Toc61946364 \h </w:instrText>
      </w:r>
      <w:r>
        <w:rPr>
          <w:rFonts w:hint="eastAsia" w:ascii="黑体" w:hAnsi="黑体" w:eastAsia="黑体" w:cs="黑体"/>
          <w:sz w:val="24"/>
        </w:rPr>
        <w:fldChar w:fldCharType="separate"/>
      </w:r>
      <w:r>
        <w:rPr>
          <w:rFonts w:hint="eastAsia" w:ascii="黑体" w:hAnsi="黑体" w:eastAsia="黑体" w:cs="黑体"/>
          <w:sz w:val="24"/>
        </w:rPr>
        <w:t>63</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"_Toc61946365" </w:instrText>
      </w:r>
      <w:r>
        <w:fldChar w:fldCharType="separate"/>
      </w:r>
      <w:r>
        <w:rPr>
          <w:rStyle w:val="21"/>
          <w:rFonts w:hint="eastAsia" w:ascii="黑体" w:hAnsi="黑体" w:eastAsia="黑体" w:cs="黑体"/>
          <w:bCs/>
          <w:sz w:val="24"/>
        </w:rPr>
        <w:t>第二节 推进法治新会建设</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_Toc61946365 \h </w:instrText>
      </w:r>
      <w:r>
        <w:rPr>
          <w:rFonts w:hint="eastAsia" w:ascii="黑体" w:hAnsi="黑体" w:eastAsia="黑体" w:cs="黑体"/>
          <w:sz w:val="24"/>
        </w:rPr>
        <w:fldChar w:fldCharType="separate"/>
      </w:r>
      <w:r>
        <w:rPr>
          <w:rFonts w:hint="eastAsia" w:ascii="黑体" w:hAnsi="黑体" w:eastAsia="黑体" w:cs="黑体"/>
          <w:sz w:val="24"/>
        </w:rPr>
        <w:t>64</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"_Toc61946366" </w:instrText>
      </w:r>
      <w:r>
        <w:fldChar w:fldCharType="separate"/>
      </w:r>
      <w:r>
        <w:rPr>
          <w:rStyle w:val="21"/>
          <w:rFonts w:hint="eastAsia" w:ascii="黑体" w:hAnsi="黑体" w:eastAsia="黑体" w:cs="黑体"/>
          <w:sz w:val="24"/>
        </w:rPr>
        <w:t>第三节 维护社会稳定和安全</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_Toc61946366 \h </w:instrText>
      </w:r>
      <w:r>
        <w:rPr>
          <w:rFonts w:hint="eastAsia" w:ascii="黑体" w:hAnsi="黑体" w:eastAsia="黑体" w:cs="黑体"/>
          <w:sz w:val="24"/>
        </w:rPr>
        <w:fldChar w:fldCharType="separate"/>
      </w:r>
      <w:r>
        <w:rPr>
          <w:rFonts w:hint="eastAsia" w:ascii="黑体" w:hAnsi="黑体" w:eastAsia="黑体" w:cs="黑体"/>
          <w:sz w:val="24"/>
        </w:rPr>
        <w:t>65</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3"/>
        <w:tabs>
          <w:tab w:val="right" w:leader="dot" w:pos="8494"/>
        </w:tabs>
        <w:spacing w:before="0" w:line="400" w:lineRule="exact"/>
        <w:rPr>
          <w:rFonts w:hint="default" w:ascii="黑体" w:hAnsi="黑体" w:eastAsia="黑体" w:cs="黑体"/>
        </w:rPr>
      </w:pPr>
      <w:r>
        <w:fldChar w:fldCharType="begin"/>
      </w:r>
      <w:r>
        <w:instrText xml:space="preserve"> HYPERLINK \l "_Toc61946367" </w:instrText>
      </w:r>
      <w:r>
        <w:fldChar w:fldCharType="separate"/>
      </w:r>
      <w:r>
        <w:rPr>
          <w:rStyle w:val="21"/>
          <w:rFonts w:ascii="黑体" w:hAnsi="黑体" w:eastAsia="黑体" w:cs="黑体"/>
        </w:rPr>
        <w:t>第十四章 加强规划实施保障</w:t>
      </w:r>
      <w:r>
        <w:rPr>
          <w:rFonts w:ascii="黑体" w:hAnsi="黑体" w:eastAsia="黑体" w:cs="黑体"/>
        </w:rPr>
        <w:tab/>
      </w:r>
      <w:r>
        <w:rPr>
          <w:rFonts w:ascii="黑体" w:hAnsi="黑体" w:eastAsia="黑体" w:cs="黑体"/>
        </w:rPr>
        <w:fldChar w:fldCharType="begin"/>
      </w:r>
      <w:r>
        <w:rPr>
          <w:rFonts w:ascii="黑体" w:hAnsi="黑体" w:eastAsia="黑体" w:cs="黑体"/>
        </w:rPr>
        <w:instrText xml:space="preserve"> PAGEREF _Toc61946367 \h </w:instrText>
      </w:r>
      <w:r>
        <w:rPr>
          <w:rFonts w:ascii="黑体" w:hAnsi="黑体" w:eastAsia="黑体" w:cs="黑体"/>
        </w:rPr>
        <w:fldChar w:fldCharType="separate"/>
      </w:r>
      <w:r>
        <w:rPr>
          <w:rFonts w:ascii="黑体" w:hAnsi="黑体" w:eastAsia="黑体" w:cs="黑体"/>
        </w:rPr>
        <w:t>66</w:t>
      </w:r>
      <w:r>
        <w:rPr>
          <w:rFonts w:ascii="黑体" w:hAnsi="黑体" w:eastAsia="黑体" w:cs="黑体"/>
        </w:rPr>
        <w:fldChar w:fldCharType="end"/>
      </w:r>
      <w:r>
        <w:rPr>
          <w:rFonts w:ascii="黑体" w:hAnsi="黑体" w:eastAsia="黑体" w:cs="黑体"/>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"_Toc61946368" </w:instrText>
      </w:r>
      <w:r>
        <w:fldChar w:fldCharType="separate"/>
      </w:r>
      <w:r>
        <w:rPr>
          <w:rStyle w:val="21"/>
          <w:rFonts w:hint="eastAsia" w:ascii="黑体" w:hAnsi="黑体" w:eastAsia="黑体" w:cs="黑体"/>
          <w:sz w:val="24"/>
        </w:rPr>
        <w:t>第一节 加强党的全面领导</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_Toc61946368 \h </w:instrText>
      </w:r>
      <w:r>
        <w:rPr>
          <w:rFonts w:hint="eastAsia" w:ascii="黑体" w:hAnsi="黑体" w:eastAsia="黑体" w:cs="黑体"/>
          <w:sz w:val="24"/>
        </w:rPr>
        <w:fldChar w:fldCharType="separate"/>
      </w:r>
      <w:r>
        <w:rPr>
          <w:rFonts w:hint="eastAsia" w:ascii="黑体" w:hAnsi="黑体" w:eastAsia="黑体" w:cs="黑体"/>
          <w:sz w:val="24"/>
        </w:rPr>
        <w:t>66</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"_Toc61946369" </w:instrText>
      </w:r>
      <w:r>
        <w:fldChar w:fldCharType="separate"/>
      </w:r>
      <w:r>
        <w:rPr>
          <w:rStyle w:val="21"/>
          <w:rFonts w:hint="eastAsia" w:ascii="黑体" w:hAnsi="黑体" w:eastAsia="黑体" w:cs="黑体"/>
          <w:sz w:val="24"/>
        </w:rPr>
        <w:t>第二节 强化规划导向作用</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_Toc61946369 \h </w:instrText>
      </w:r>
      <w:r>
        <w:rPr>
          <w:rFonts w:hint="eastAsia" w:ascii="黑体" w:hAnsi="黑体" w:eastAsia="黑体" w:cs="黑体"/>
          <w:sz w:val="24"/>
        </w:rPr>
        <w:fldChar w:fldCharType="separate"/>
      </w:r>
      <w:r>
        <w:rPr>
          <w:rFonts w:hint="eastAsia" w:ascii="黑体" w:hAnsi="黑体" w:eastAsia="黑体" w:cs="黑体"/>
          <w:sz w:val="24"/>
        </w:rPr>
        <w:t>66</w:t>
      </w:r>
      <w:r>
        <w:rPr>
          <w:rFonts w:hint="eastAsia" w:ascii="黑体" w:hAnsi="黑体" w:eastAsia="黑体" w:cs="黑体"/>
          <w:sz w:val="24"/>
        </w:rPr>
        <w:fldChar w:fldCharType="end"/>
      </w:r>
      <w:r>
        <w:rPr>
          <w:rFonts w:hint="eastAsia" w:ascii="黑体" w:hAnsi="黑体" w:eastAsia="黑体" w:cs="黑体"/>
          <w:sz w:val="24"/>
        </w:rPr>
        <w:fldChar w:fldCharType="end"/>
      </w:r>
    </w:p>
    <w:p>
      <w:pPr>
        <w:pStyle w:val="15"/>
        <w:tabs>
          <w:tab w:val="right" w:leader="dot" w:pos="8494"/>
        </w:tabs>
        <w:spacing w:line="400" w:lineRule="exact"/>
        <w:ind w:left="560"/>
        <w:rPr>
          <w:rFonts w:ascii="黑体" w:hAnsi="黑体" w:eastAsia="黑体" w:cs="黑体"/>
          <w:sz w:val="24"/>
        </w:rPr>
      </w:pPr>
      <w:r>
        <w:fldChar w:fldCharType="begin"/>
      </w:r>
      <w:r>
        <w:instrText xml:space="preserve"> HYPERLINK \l "_Toc61946370" </w:instrText>
      </w:r>
      <w:r>
        <w:fldChar w:fldCharType="separate"/>
      </w:r>
      <w:r>
        <w:rPr>
          <w:rStyle w:val="21"/>
          <w:rFonts w:hint="eastAsia" w:ascii="黑体" w:hAnsi="黑体" w:eastAsia="黑体" w:cs="黑体"/>
          <w:sz w:val="24"/>
        </w:rPr>
        <w:t>第三节 加强规划组织实施</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_Toc61946370 \h </w:instrText>
      </w:r>
      <w:r>
        <w:rPr>
          <w:rFonts w:hint="eastAsia" w:ascii="黑体" w:hAnsi="黑体" w:eastAsia="黑体" w:cs="黑体"/>
          <w:sz w:val="24"/>
        </w:rPr>
        <w:fldChar w:fldCharType="separate"/>
      </w:r>
      <w:r>
        <w:rPr>
          <w:rFonts w:hint="eastAsia" w:ascii="黑体" w:hAnsi="黑体" w:eastAsia="黑体" w:cs="黑体"/>
          <w:sz w:val="24"/>
        </w:rPr>
        <w:t>67</w:t>
      </w:r>
      <w:r>
        <w:rPr>
          <w:rFonts w:hint="eastAsia" w:ascii="黑体" w:hAnsi="黑体" w:eastAsia="黑体" w:cs="黑体"/>
          <w:sz w:val="24"/>
        </w:rPr>
        <w:fldChar w:fldCharType="end"/>
      </w:r>
      <w:r>
        <w:rPr>
          <w:rFonts w:hint="eastAsia" w:ascii="黑体" w:hAnsi="黑体" w:eastAsia="黑体" w:cs="黑体"/>
          <w:sz w:val="24"/>
        </w:rPr>
        <w:fldChar w:fldCharType="end"/>
      </w:r>
    </w:p>
    <w:p>
      <w:pPr>
        <w:adjustRightInd/>
        <w:spacing w:line="400" w:lineRule="exact"/>
        <w:ind w:firstLine="480"/>
        <w:jc w:val="both"/>
        <w:rPr>
          <w:rFonts w:ascii="黑体" w:hAnsi="黑体" w:eastAsia="黑体" w:cs="黑体"/>
          <w:bCs/>
          <w:sz w:val="24"/>
        </w:rPr>
      </w:pPr>
      <w:r>
        <w:rPr>
          <w:rFonts w:hint="eastAsia" w:ascii="黑体" w:hAnsi="黑体" w:eastAsia="黑体" w:cs="黑体"/>
          <w:bCs/>
          <w:sz w:val="24"/>
        </w:rPr>
        <w:fldChar w:fldCharType="end"/>
      </w:r>
      <w:r>
        <w:rPr>
          <w:rFonts w:hint="eastAsia" w:ascii="黑体" w:hAnsi="黑体" w:eastAsia="黑体" w:cs="黑体"/>
          <w:bCs/>
          <w:sz w:val="24"/>
        </w:rPr>
        <w:t>附件1 新会区“十四五”专项规划目录清单</w:t>
      </w:r>
      <w:r>
        <w:rPr>
          <w:rFonts w:hint="eastAsia" w:ascii="黑体" w:hAnsi="黑体" w:eastAsia="黑体" w:cs="黑体"/>
          <w:sz w:val="15"/>
          <w:szCs w:val="15"/>
        </w:rPr>
        <w:t>………………………………………………………</w:t>
      </w:r>
      <w:r>
        <w:rPr>
          <w:rFonts w:hint="eastAsia" w:ascii="黑体" w:hAnsi="黑体" w:eastAsia="黑体" w:cs="黑体"/>
          <w:sz w:val="24"/>
        </w:rPr>
        <w:t>67</w:t>
      </w:r>
    </w:p>
    <w:p>
      <w:pPr>
        <w:adjustRightInd/>
        <w:spacing w:line="400" w:lineRule="exact"/>
        <w:ind w:firstLine="480"/>
        <w:jc w:val="both"/>
        <w:rPr>
          <w:rFonts w:ascii="黑体" w:hAnsi="黑体" w:eastAsia="黑体" w:cs="黑体"/>
          <w:bCs/>
          <w:sz w:val="24"/>
        </w:rPr>
      </w:pPr>
      <w:r>
        <w:rPr>
          <w:rFonts w:hint="eastAsia" w:ascii="黑体" w:hAnsi="黑体" w:eastAsia="黑体" w:cs="黑体"/>
          <w:bCs/>
          <w:sz w:val="24"/>
        </w:rPr>
        <w:t>附件2 新会区“十四五”规划重大建设项目汇总表</w:t>
      </w:r>
      <w:r>
        <w:rPr>
          <w:rFonts w:hint="eastAsia" w:ascii="黑体" w:hAnsi="黑体" w:eastAsia="黑体" w:cs="黑体"/>
          <w:sz w:val="15"/>
          <w:szCs w:val="15"/>
        </w:rPr>
        <w:t>…………………………………………</w:t>
      </w:r>
      <w:r>
        <w:rPr>
          <w:rFonts w:hint="eastAsia" w:ascii="黑体" w:hAnsi="黑体" w:eastAsia="黑体" w:cs="黑体"/>
          <w:sz w:val="24"/>
        </w:rPr>
        <w:t>68</w:t>
      </w:r>
    </w:p>
    <w:p>
      <w:pPr>
        <w:adjustRightInd/>
        <w:spacing w:line="560" w:lineRule="exact"/>
        <w:ind w:firstLine="480" w:firstLineChars="200"/>
        <w:jc w:val="both"/>
        <w:rPr>
          <w:rFonts w:ascii="黑体" w:hAnsi="黑体" w:eastAsia="黑体" w:cs="黑体"/>
          <w:sz w:val="24"/>
        </w:rPr>
        <w:sectPr>
          <w:footerReference r:id="rId5" w:type="default"/>
          <w:pgSz w:w="11906" w:h="16838"/>
          <w:pgMar w:top="1418" w:right="1701" w:bottom="1418" w:left="1701" w:header="851" w:footer="992" w:gutter="0"/>
          <w:pgNumType w:fmt="decimal" w:start="1"/>
          <w:cols w:space="720" w:num="1"/>
          <w:docGrid w:type="lines" w:linePitch="312" w:charSpace="0"/>
        </w:sectPr>
      </w:pPr>
    </w:p>
    <w:p>
      <w:pPr>
        <w:adjustRightInd/>
        <w:spacing w:line="560" w:lineRule="exact"/>
        <w:ind w:firstLine="640" w:firstLineChars="200"/>
        <w:jc w:val="both"/>
        <w:rPr>
          <w:rFonts w:ascii="Times New Roman" w:hAnsi="Times New Roman" w:eastAsia="仿宋_GB2312" w:cs="Times New Roman"/>
          <w:bCs/>
          <w:sz w:val="24"/>
        </w:rPr>
      </w:pPr>
      <w:r>
        <w:rPr>
          <w:rFonts w:ascii="Times New Roman" w:hAnsi="仿宋_GB2312" w:eastAsia="仿宋_GB2312" w:cs="Times New Roman"/>
          <w:sz w:val="32"/>
          <w:szCs w:val="32"/>
        </w:rPr>
        <w:t>本规划纲要根据党的十九届五中全会精神和《中共江门市新会区委关于制定国民经济和社会发展第十四个五年规划和二</w:t>
      </w:r>
      <w:r>
        <w:rPr>
          <w:rFonts w:hint="eastAsia" w:ascii="宋体" w:hAnsi="宋体" w:eastAsia="宋体"/>
          <w:sz w:val="32"/>
          <w:szCs w:val="32"/>
        </w:rPr>
        <w:t>〇</w:t>
      </w:r>
      <w:r>
        <w:rPr>
          <w:rFonts w:ascii="Times New Roman" w:hAnsi="仿宋_GB2312" w:eastAsia="仿宋_GB2312" w:cs="Times New Roman"/>
          <w:sz w:val="32"/>
          <w:szCs w:val="32"/>
        </w:rPr>
        <w:t>三五年远景目标的建议》编制，重点明确</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w:t>
      </w:r>
      <w:r>
        <w:rPr>
          <w:rFonts w:ascii="Times New Roman" w:hAnsi="Times New Roman" w:eastAsia="仿宋_GB2312" w:cs="Times New Roman"/>
          <w:sz w:val="32"/>
          <w:szCs w:val="32"/>
        </w:rPr>
        <w:t>2021-2025</w:t>
      </w:r>
      <w:r>
        <w:rPr>
          <w:rFonts w:ascii="Times New Roman" w:hAnsi="仿宋_GB2312" w:eastAsia="仿宋_GB2312" w:cs="Times New Roman"/>
          <w:sz w:val="32"/>
          <w:szCs w:val="32"/>
        </w:rPr>
        <w:t>年）新会经济社会发展的指导思想、基本原则、发展目标、发展要求，谋划重大战略，部署重大任务，并对</w:t>
      </w:r>
      <w:r>
        <w:rPr>
          <w:rFonts w:hint="eastAsia" w:ascii="Times New Roman" w:hAnsi="仿宋_GB2312" w:eastAsia="仿宋_GB2312" w:cs="Times New Roman"/>
          <w:sz w:val="32"/>
          <w:szCs w:val="32"/>
        </w:rPr>
        <w:t>2035</w:t>
      </w:r>
      <w:r>
        <w:rPr>
          <w:rFonts w:ascii="Times New Roman" w:hAnsi="仿宋_GB2312" w:eastAsia="仿宋_GB2312" w:cs="Times New Roman"/>
          <w:sz w:val="32"/>
          <w:szCs w:val="32"/>
        </w:rPr>
        <w:t>年远景目标进行展望，是战略性、宏观性、政策性规划，是政府履行经济调节、市场监管、社会管理、公共服务和生态环境保护职能的重要依据，是未来五年我区经济社会发展的宏伟蓝图和全区人民共同的行动纲领。</w:t>
      </w:r>
    </w:p>
    <w:p>
      <w:pPr>
        <w:pStyle w:val="2"/>
        <w:spacing w:line="560" w:lineRule="exact"/>
        <w:rPr>
          <w:rFonts w:ascii="Times New Roman" w:hAnsi="Times New Roman"/>
          <w:b w:val="0"/>
          <w:bCs/>
          <w:szCs w:val="32"/>
        </w:rPr>
      </w:pPr>
      <w:bookmarkStart w:id="0" w:name="_Toc60738006"/>
      <w:bookmarkStart w:id="1" w:name="_Toc9145"/>
      <w:bookmarkStart w:id="2" w:name="_Toc8913"/>
      <w:bookmarkStart w:id="3" w:name="_Toc3231"/>
      <w:bookmarkStart w:id="4" w:name="_Toc6243"/>
      <w:bookmarkStart w:id="5" w:name="_Toc61946309"/>
      <w:bookmarkStart w:id="6" w:name="_Toc13292"/>
      <w:r>
        <w:rPr>
          <w:rFonts w:ascii="Times New Roman"/>
          <w:b w:val="0"/>
          <w:bCs/>
          <w:szCs w:val="32"/>
        </w:rPr>
        <w:t>第一章</w:t>
      </w:r>
      <w:bookmarkEnd w:id="0"/>
      <w:bookmarkEnd w:id="1"/>
      <w:bookmarkEnd w:id="2"/>
      <w:bookmarkEnd w:id="3"/>
      <w:bookmarkEnd w:id="4"/>
      <w:bookmarkEnd w:id="5"/>
      <w:bookmarkEnd w:id="6"/>
      <w:r>
        <w:rPr>
          <w:rFonts w:hint="eastAsia" w:ascii="Times New Roman"/>
          <w:b w:val="0"/>
          <w:bCs/>
          <w:szCs w:val="32"/>
          <w:lang w:val="en-US" w:eastAsia="zh-CN"/>
        </w:rPr>
        <w:t xml:space="preserve"> </w:t>
      </w:r>
      <w:r>
        <w:rPr>
          <w:rFonts w:ascii="Times New Roman" w:hAnsi="Times New Roman"/>
          <w:b w:val="0"/>
          <w:bCs/>
          <w:szCs w:val="32"/>
        </w:rPr>
        <w:t>“</w:t>
      </w:r>
      <w:r>
        <w:rPr>
          <w:rFonts w:ascii="Times New Roman"/>
          <w:b w:val="0"/>
          <w:bCs/>
          <w:szCs w:val="32"/>
        </w:rPr>
        <w:t>十三五</w:t>
      </w:r>
      <w:r>
        <w:rPr>
          <w:rFonts w:ascii="Times New Roman" w:hAnsi="Times New Roman"/>
          <w:b w:val="0"/>
          <w:bCs/>
          <w:szCs w:val="32"/>
        </w:rPr>
        <w:t>”</w:t>
      </w:r>
      <w:r>
        <w:rPr>
          <w:rFonts w:ascii="Times New Roman"/>
          <w:b w:val="0"/>
          <w:bCs/>
          <w:szCs w:val="32"/>
        </w:rPr>
        <w:t>时期主要成就和</w:t>
      </w:r>
      <w:r>
        <w:rPr>
          <w:rFonts w:ascii="Times New Roman" w:hAnsi="Times New Roman"/>
          <w:b w:val="0"/>
          <w:bCs/>
          <w:szCs w:val="32"/>
        </w:rPr>
        <w:t>“</w:t>
      </w:r>
      <w:r>
        <w:rPr>
          <w:rFonts w:ascii="Times New Roman"/>
          <w:b w:val="0"/>
          <w:bCs/>
          <w:szCs w:val="32"/>
        </w:rPr>
        <w:t>十四五</w:t>
      </w:r>
      <w:r>
        <w:rPr>
          <w:rFonts w:ascii="Times New Roman" w:hAnsi="Times New Roman"/>
          <w:b w:val="0"/>
          <w:bCs/>
          <w:szCs w:val="32"/>
        </w:rPr>
        <w:t>”</w:t>
      </w:r>
      <w:r>
        <w:rPr>
          <w:rFonts w:ascii="Times New Roman"/>
          <w:b w:val="0"/>
          <w:bCs/>
          <w:szCs w:val="32"/>
        </w:rPr>
        <w:t>时期发展形势</w:t>
      </w:r>
    </w:p>
    <w:p>
      <w:pPr>
        <w:pStyle w:val="3"/>
        <w:spacing w:line="560" w:lineRule="exact"/>
        <w:jc w:val="center"/>
        <w:rPr>
          <w:rFonts w:ascii="Times New Roman" w:hAnsi="Times New Roman" w:eastAsia="楷体_GB2312"/>
          <w:b w:val="0"/>
          <w:bCs w:val="0"/>
        </w:rPr>
      </w:pPr>
      <w:bookmarkStart w:id="7" w:name="_Toc60738007"/>
      <w:bookmarkStart w:id="8" w:name="_Toc14012"/>
      <w:bookmarkStart w:id="9" w:name="_Toc3392"/>
      <w:bookmarkStart w:id="10" w:name="_Toc61946310"/>
      <w:bookmarkStart w:id="11" w:name="_Toc7276"/>
      <w:bookmarkStart w:id="12" w:name="_Toc15300"/>
      <w:r>
        <w:rPr>
          <w:rFonts w:ascii="Times New Roman" w:hAnsi="楷体_GB2312" w:eastAsia="楷体_GB2312"/>
          <w:b w:val="0"/>
          <w:bCs w:val="0"/>
        </w:rPr>
        <w:t>第一节</w:t>
      </w:r>
      <w:r>
        <w:rPr>
          <w:rFonts w:hint="eastAsia" w:ascii="Times New Roman" w:hAnsi="楷体_GB2312" w:eastAsia="楷体_GB2312"/>
          <w:b w:val="0"/>
          <w:bCs w:val="0"/>
          <w:lang w:val="en-US" w:eastAsia="zh-CN"/>
        </w:rPr>
        <w:t xml:space="preserve"> </w:t>
      </w:r>
      <w:r>
        <w:rPr>
          <w:rFonts w:ascii="Times New Roman" w:hAnsi="Times New Roman" w:eastAsia="楷体_GB2312"/>
          <w:b w:val="0"/>
          <w:bCs w:val="0"/>
        </w:rPr>
        <w:t>“</w:t>
      </w:r>
      <w:r>
        <w:rPr>
          <w:rFonts w:ascii="Times New Roman" w:hAnsi="楷体_GB2312" w:eastAsia="楷体_GB2312"/>
          <w:b w:val="0"/>
          <w:bCs w:val="0"/>
        </w:rPr>
        <w:t>十三五</w:t>
      </w:r>
      <w:r>
        <w:rPr>
          <w:rFonts w:ascii="Times New Roman" w:hAnsi="Times New Roman" w:eastAsia="楷体_GB2312"/>
          <w:b w:val="0"/>
          <w:bCs w:val="0"/>
        </w:rPr>
        <w:t>”</w:t>
      </w:r>
      <w:r>
        <w:rPr>
          <w:rFonts w:ascii="Times New Roman" w:hAnsi="楷体_GB2312" w:eastAsia="楷体_GB2312"/>
          <w:b w:val="0"/>
          <w:bCs w:val="0"/>
        </w:rPr>
        <w:t>时期发展</w:t>
      </w:r>
      <w:bookmarkEnd w:id="7"/>
      <w:bookmarkEnd w:id="8"/>
      <w:bookmarkEnd w:id="9"/>
      <w:bookmarkEnd w:id="10"/>
      <w:bookmarkEnd w:id="11"/>
      <w:bookmarkEnd w:id="12"/>
      <w:r>
        <w:rPr>
          <w:rFonts w:ascii="Times New Roman" w:hAnsi="楷体_GB2312" w:eastAsia="楷体_GB2312"/>
          <w:b w:val="0"/>
          <w:bCs w:val="0"/>
        </w:rPr>
        <w:t>成就</w:t>
      </w:r>
    </w:p>
    <w:p>
      <w:pPr>
        <w:spacing w:line="560" w:lineRule="exact"/>
        <w:ind w:firstLine="6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仿宋_GB2312" w:eastAsia="仿宋_GB2312" w:cs="Times New Roman"/>
          <w:sz w:val="32"/>
          <w:szCs w:val="32"/>
        </w:rPr>
        <w:t>十三五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时期，面对国内外风险挑战明显上升的复杂局面，全区上下紧密团结在以习近平同志为核心的党中央周围，切实增强</w:t>
      </w:r>
      <w:r>
        <w:rPr>
          <w:rFonts w:ascii="Times New Roman" w:hAnsi="Times New Roman" w:eastAsia="仿宋_GB2312" w:cs="Times New Roman"/>
          <w:sz w:val="32"/>
          <w:szCs w:val="32"/>
        </w:rPr>
        <w:t>“</w:t>
      </w:r>
      <w:r>
        <w:rPr>
          <w:rFonts w:ascii="Times New Roman" w:hAnsi="仿宋_GB2312" w:eastAsia="仿宋_GB2312" w:cs="Times New Roman"/>
          <w:sz w:val="32"/>
          <w:szCs w:val="32"/>
        </w:rPr>
        <w:t>四个意识</w:t>
      </w:r>
      <w:r>
        <w:rPr>
          <w:rFonts w:ascii="Times New Roman" w:hAnsi="Times New Roman" w:eastAsia="仿宋_GB2312" w:cs="Times New Roman"/>
          <w:sz w:val="32"/>
          <w:szCs w:val="32"/>
        </w:rPr>
        <w:t>”</w:t>
      </w:r>
      <w:r>
        <w:rPr>
          <w:rFonts w:ascii="Times New Roman" w:hAnsi="仿宋_GB2312" w:eastAsia="仿宋_GB2312" w:cs="Times New Roman"/>
          <w:sz w:val="32"/>
          <w:szCs w:val="32"/>
        </w:rPr>
        <w:t>、坚定</w:t>
      </w:r>
      <w:r>
        <w:rPr>
          <w:rFonts w:ascii="Times New Roman" w:hAnsi="Times New Roman" w:eastAsia="仿宋_GB2312" w:cs="Times New Roman"/>
          <w:sz w:val="32"/>
          <w:szCs w:val="32"/>
        </w:rPr>
        <w:t>“</w:t>
      </w:r>
      <w:r>
        <w:rPr>
          <w:rFonts w:ascii="Times New Roman" w:hAnsi="仿宋_GB2312" w:eastAsia="仿宋_GB2312" w:cs="Times New Roman"/>
          <w:sz w:val="32"/>
          <w:szCs w:val="32"/>
        </w:rPr>
        <w:t>四个自信</w:t>
      </w:r>
      <w:r>
        <w:rPr>
          <w:rFonts w:ascii="Times New Roman" w:hAnsi="Times New Roman" w:eastAsia="仿宋_GB2312" w:cs="Times New Roman"/>
          <w:sz w:val="32"/>
          <w:szCs w:val="32"/>
        </w:rPr>
        <w:t>”</w:t>
      </w:r>
      <w:r>
        <w:rPr>
          <w:rFonts w:ascii="Times New Roman" w:hAnsi="仿宋_GB2312" w:eastAsia="仿宋_GB2312" w:cs="Times New Roman"/>
          <w:sz w:val="32"/>
          <w:szCs w:val="32"/>
        </w:rPr>
        <w:t>、做到</w:t>
      </w:r>
      <w:r>
        <w:rPr>
          <w:rFonts w:ascii="Times New Roman" w:hAnsi="Times New Roman" w:eastAsia="仿宋_GB2312" w:cs="Times New Roman"/>
          <w:sz w:val="32"/>
          <w:szCs w:val="32"/>
        </w:rPr>
        <w:t>“</w:t>
      </w:r>
      <w:r>
        <w:rPr>
          <w:rFonts w:ascii="Times New Roman" w:hAnsi="仿宋_GB2312" w:eastAsia="仿宋_GB2312" w:cs="Times New Roman"/>
          <w:sz w:val="32"/>
          <w:szCs w:val="32"/>
        </w:rPr>
        <w:t>两个维护</w:t>
      </w:r>
      <w:r>
        <w:rPr>
          <w:rFonts w:ascii="Times New Roman" w:hAnsi="Times New Roman" w:eastAsia="仿宋_GB2312" w:cs="Times New Roman"/>
          <w:sz w:val="32"/>
          <w:szCs w:val="32"/>
        </w:rPr>
        <w:t>”</w:t>
      </w:r>
      <w:r>
        <w:rPr>
          <w:rFonts w:ascii="Times New Roman" w:hAnsi="仿宋_GB2312" w:eastAsia="仿宋_GB2312" w:cs="Times New Roman"/>
          <w:sz w:val="32"/>
          <w:szCs w:val="32"/>
        </w:rPr>
        <w:t>，深入贯彻党中央决策部署和省委、市委工作安排，坚持工业立区，抢抓</w:t>
      </w:r>
      <w:r>
        <w:rPr>
          <w:rFonts w:ascii="Times New Roman" w:hAnsi="Times New Roman" w:eastAsia="仿宋_GB2312" w:cs="Times New Roman"/>
          <w:sz w:val="32"/>
          <w:szCs w:val="32"/>
        </w:rPr>
        <w:t>“</w:t>
      </w:r>
      <w:r>
        <w:rPr>
          <w:rFonts w:ascii="Times New Roman" w:hAnsi="仿宋_GB2312" w:eastAsia="仿宋_GB2312" w:cs="Times New Roman"/>
          <w:sz w:val="32"/>
          <w:szCs w:val="32"/>
        </w:rPr>
        <w:t>双区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建设重大机遇，积极做好稳增长、促改革、调结构、惠民生，坚决打好三大攻坚战，统筹推进新冠肺炎疫情防控和经济社会发展，</w:t>
      </w:r>
      <w:r>
        <w:rPr>
          <w:rFonts w:ascii="Times New Roman" w:hAnsi="Times New Roman" w:eastAsia="仿宋_GB2312" w:cs="Times New Roman"/>
          <w:sz w:val="32"/>
          <w:szCs w:val="32"/>
        </w:rPr>
        <w:t>“</w:t>
      </w:r>
      <w:r>
        <w:rPr>
          <w:rFonts w:ascii="Times New Roman" w:hAnsi="仿宋_GB2312" w:eastAsia="仿宋_GB2312" w:cs="Times New Roman"/>
          <w:sz w:val="32"/>
          <w:szCs w:val="32"/>
        </w:rPr>
        <w:t>十三五</w:t>
      </w:r>
      <w:r>
        <w:rPr>
          <w:rFonts w:ascii="Times New Roman" w:hAnsi="Times New Roman" w:eastAsia="仿宋_GB2312" w:cs="Times New Roman"/>
          <w:sz w:val="32"/>
          <w:szCs w:val="32"/>
        </w:rPr>
        <w:t>”</w:t>
      </w:r>
      <w:r>
        <w:rPr>
          <w:rFonts w:ascii="Times New Roman" w:hAnsi="仿宋_GB2312" w:eastAsia="仿宋_GB2312" w:cs="Times New Roman"/>
          <w:sz w:val="32"/>
          <w:szCs w:val="32"/>
        </w:rPr>
        <w:t>规划实施情况良好，决胜全面建成小康社会取得决定性成就，为</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时期开启社会主义现代化建设新征程打下了坚实基础。</w:t>
      </w:r>
    </w:p>
    <w:p>
      <w:pPr>
        <w:overflowPunct w:val="0"/>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经济发展实现稳中提质。</w:t>
      </w:r>
      <w:r>
        <w:rPr>
          <w:rFonts w:ascii="Times New Roman" w:hAnsi="Times New Roman" w:eastAsia="仿宋_GB2312" w:cs="Times New Roman"/>
          <w:bCs/>
          <w:sz w:val="32"/>
          <w:szCs w:val="32"/>
        </w:rPr>
        <w:t>2020年全</w:t>
      </w:r>
      <w:r>
        <w:rPr>
          <w:rFonts w:hint="eastAsia" w:ascii="Times New Roman" w:hAnsi="仿宋_GB2312" w:eastAsia="仿宋_GB2312" w:cs="Times New Roman"/>
          <w:bCs/>
          <w:sz w:val="32"/>
          <w:szCs w:val="32"/>
        </w:rPr>
        <w:t>区地区</w:t>
      </w:r>
      <w:r>
        <w:rPr>
          <w:rFonts w:ascii="Times New Roman" w:hAnsi="仿宋_GB2312" w:eastAsia="仿宋_GB2312" w:cs="Times New Roman"/>
          <w:sz w:val="32"/>
          <w:szCs w:val="32"/>
        </w:rPr>
        <w:t>生产总值突破</w:t>
      </w:r>
      <w:r>
        <w:rPr>
          <w:rFonts w:ascii="Times New Roman" w:hAnsi="Times New Roman" w:eastAsia="仿宋_GB2312" w:cs="Times New Roman"/>
          <w:sz w:val="32"/>
          <w:szCs w:val="32"/>
        </w:rPr>
        <w:t>800</w:t>
      </w:r>
      <w:r>
        <w:rPr>
          <w:rFonts w:ascii="Times New Roman" w:hAnsi="仿宋_GB2312" w:eastAsia="仿宋_GB2312" w:cs="Times New Roman"/>
          <w:sz w:val="32"/>
          <w:szCs w:val="32"/>
        </w:rPr>
        <w:t>亿</w:t>
      </w:r>
      <w:r>
        <w:rPr>
          <w:rFonts w:hint="eastAsia" w:ascii="Times New Roman" w:hAnsi="仿宋_GB2312" w:eastAsia="仿宋_GB2312" w:cs="Times New Roman"/>
          <w:sz w:val="32"/>
          <w:szCs w:val="32"/>
        </w:rPr>
        <w:t>元</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rPr>
        <w:t>总量位居全市第一，五年年均增长6.9</w:t>
      </w:r>
      <w:r>
        <w:rPr>
          <w:rFonts w:ascii="Times New Roman" w:hAnsi="Times New Roman" w:eastAsia="仿宋_GB2312" w:cs="Times New Roman"/>
          <w:sz w:val="32"/>
          <w:szCs w:val="32"/>
        </w:rPr>
        <w:t>%</w:t>
      </w:r>
      <w:r>
        <w:rPr>
          <w:rFonts w:ascii="Times New Roman" w:hAnsi="仿宋_GB2312" w:eastAsia="仿宋_GB2312" w:cs="Times New Roman"/>
          <w:sz w:val="32"/>
          <w:szCs w:val="32"/>
        </w:rPr>
        <w:t>，人均生产总值</w:t>
      </w:r>
      <w:r>
        <w:rPr>
          <w:rFonts w:ascii="Times New Roman" w:hAnsi="Times New Roman" w:eastAsia="仿宋_GB2312" w:cs="Times New Roman"/>
          <w:sz w:val="32"/>
          <w:szCs w:val="32"/>
        </w:rPr>
        <w:t>9.2</w:t>
      </w:r>
      <w:r>
        <w:rPr>
          <w:rFonts w:ascii="Times New Roman" w:hAnsi="仿宋_GB2312" w:eastAsia="仿宋_GB2312" w:cs="Times New Roman"/>
          <w:sz w:val="32"/>
          <w:szCs w:val="32"/>
        </w:rPr>
        <w:t>万元，</w:t>
      </w:r>
      <w:r>
        <w:rPr>
          <w:rFonts w:hint="eastAsia" w:ascii="Times New Roman" w:hAnsi="仿宋_GB2312" w:eastAsia="仿宋_GB2312" w:cs="Times New Roman"/>
          <w:sz w:val="32"/>
          <w:szCs w:val="32"/>
        </w:rPr>
        <w:t>五年</w:t>
      </w:r>
      <w:r>
        <w:rPr>
          <w:rFonts w:ascii="Times New Roman" w:hAnsi="仿宋_GB2312" w:eastAsia="仿宋_GB2312" w:cs="Times New Roman"/>
          <w:sz w:val="32"/>
          <w:szCs w:val="32"/>
        </w:rPr>
        <w:t>年均增长</w:t>
      </w:r>
      <w:r>
        <w:rPr>
          <w:rFonts w:hint="eastAsia" w:ascii="Times New Roman" w:hAnsi="Times New Roman" w:eastAsia="仿宋_GB2312" w:cs="Times New Roman"/>
          <w:sz w:val="32"/>
          <w:szCs w:val="32"/>
        </w:rPr>
        <w:t>6.1</w:t>
      </w:r>
      <w:r>
        <w:rPr>
          <w:rFonts w:ascii="Times New Roman" w:hAnsi="Times New Roman" w:eastAsia="仿宋_GB2312" w:cs="Times New Roman"/>
          <w:sz w:val="32"/>
          <w:szCs w:val="32"/>
        </w:rPr>
        <w:t>%</w:t>
      </w:r>
      <w:r>
        <w:rPr>
          <w:rFonts w:ascii="Times New Roman" w:hAnsi="仿宋_GB2312" w:eastAsia="仿宋_GB2312" w:cs="Times New Roman"/>
          <w:sz w:val="32"/>
          <w:szCs w:val="32"/>
        </w:rPr>
        <w:t>。全国城市市辖区高质量发展百强排名跃升至第</w:t>
      </w:r>
      <w:r>
        <w:rPr>
          <w:rFonts w:ascii="Times New Roman" w:hAnsi="Times New Roman" w:eastAsia="仿宋_GB2312" w:cs="Times New Roman"/>
          <w:sz w:val="32"/>
          <w:szCs w:val="32"/>
        </w:rPr>
        <w:t>47</w:t>
      </w:r>
      <w:r>
        <w:rPr>
          <w:rFonts w:ascii="Times New Roman" w:hAnsi="仿宋_GB2312" w:eastAsia="仿宋_GB2312" w:cs="Times New Roman"/>
          <w:sz w:val="32"/>
          <w:szCs w:val="32"/>
        </w:rPr>
        <w:t>名，连续九年实现争先进位，江门经济社会发展主引擎地位进一步夯实。三次产业结构由</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年的</w:t>
      </w:r>
      <w:r>
        <w:rPr>
          <w:rFonts w:ascii="Times New Roman" w:hAnsi="Times New Roman" w:eastAsia="仿宋_GB2312" w:cs="Times New Roman"/>
          <w:sz w:val="32"/>
          <w:szCs w:val="32"/>
        </w:rPr>
        <w:t>7.53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59.42</w:t>
      </w:r>
      <w:r>
        <w:rPr>
          <w:rFonts w:hint="eastAsia" w:ascii="宋体" w:hAnsi="宋体" w:eastAsia="宋体"/>
          <w:sz w:val="32"/>
          <w:szCs w:val="32"/>
        </w:rPr>
        <w:t>:</w:t>
      </w:r>
      <w:r>
        <w:rPr>
          <w:rFonts w:ascii="Times New Roman" w:hAnsi="Times New Roman" w:eastAsia="仿宋_GB2312" w:cs="Times New Roman"/>
          <w:sz w:val="32"/>
          <w:szCs w:val="32"/>
        </w:rPr>
        <w:t>33.05</w:t>
      </w:r>
      <w:r>
        <w:rPr>
          <w:rFonts w:ascii="Times New Roman" w:hAnsi="仿宋_GB2312" w:eastAsia="仿宋_GB2312" w:cs="Times New Roman"/>
          <w:sz w:val="32"/>
          <w:szCs w:val="32"/>
        </w:rPr>
        <w:t>调整为</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20</w:t>
      </w:r>
      <w:r>
        <w:rPr>
          <w:rFonts w:ascii="Times New Roman" w:hAnsi="仿宋_GB2312" w:eastAsia="仿宋_GB2312" w:cs="Times New Roman"/>
          <w:sz w:val="32"/>
          <w:szCs w:val="32"/>
        </w:rPr>
        <w:t>年的</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26</w:t>
      </w:r>
      <w:r>
        <w:rPr>
          <w:rFonts w:hint="eastAsia" w:ascii="宋体" w:hAnsi="宋体" w:eastAsia="宋体"/>
          <w:sz w:val="32"/>
          <w:szCs w:val="32"/>
        </w:rPr>
        <w:t>:</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22</w:t>
      </w:r>
      <w:r>
        <w:rPr>
          <w:rFonts w:hint="eastAsia" w:ascii="宋体" w:hAnsi="宋体" w:eastAsia="宋体"/>
          <w:sz w:val="32"/>
          <w:szCs w:val="32"/>
        </w:rPr>
        <w:t>:</w:t>
      </w:r>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52</w:t>
      </w:r>
      <w:r>
        <w:rPr>
          <w:rFonts w:ascii="Times New Roman" w:hAnsi="仿宋_GB2312" w:eastAsia="仿宋_GB2312" w:cs="Times New Roman"/>
          <w:sz w:val="32"/>
          <w:szCs w:val="32"/>
        </w:rPr>
        <w:t>，第三产业占比进一步提高。规模以上工业增加值、固定资产投资、社会消费品零售总额、一般公共预算收入、进出口总额等主要经济指标</w:t>
      </w:r>
      <w:r>
        <w:rPr>
          <w:rFonts w:hint="eastAsia" w:ascii="Times New Roman" w:hAnsi="仿宋_GB2312" w:eastAsia="仿宋_GB2312" w:cs="Times New Roman"/>
          <w:sz w:val="32"/>
          <w:szCs w:val="32"/>
        </w:rPr>
        <w:t>五年</w:t>
      </w:r>
      <w:r>
        <w:rPr>
          <w:rFonts w:ascii="Times New Roman" w:hAnsi="仿宋_GB2312" w:eastAsia="仿宋_GB2312" w:cs="Times New Roman"/>
          <w:sz w:val="32"/>
          <w:szCs w:val="32"/>
        </w:rPr>
        <w:t>年均增长分别达</w:t>
      </w:r>
      <w:r>
        <w:rPr>
          <w:rFonts w:hint="eastAsia" w:ascii="Times New Roman" w:hAnsi="仿宋_GB2312" w:eastAsia="仿宋_GB2312" w:cs="Times New Roman"/>
          <w:sz w:val="32"/>
          <w:szCs w:val="32"/>
        </w:rPr>
        <w:t>8.1</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rPr>
        <w:t>14.4</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rPr>
        <w:t>9.7</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rPr>
        <w:t>6</w:t>
      </w:r>
      <w:r>
        <w:rPr>
          <w:rFonts w:ascii="Times New Roman" w:hAnsi="Times New Roman" w:eastAsia="仿宋_GB2312" w:cs="Times New Roman"/>
          <w:sz w:val="32"/>
          <w:szCs w:val="32"/>
        </w:rPr>
        <w:t>%</w:t>
      </w:r>
      <w:r>
        <w:rPr>
          <w:rFonts w:ascii="Times New Roman" w:hAnsi="仿宋_GB2312" w:eastAsia="仿宋_GB2312" w:cs="Times New Roman"/>
          <w:sz w:val="32"/>
          <w:szCs w:val="32"/>
        </w:rPr>
        <w:t>和</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ascii="Times New Roman" w:hAnsi="仿宋_GB2312" w:eastAsia="仿宋_GB2312" w:cs="Times New Roman"/>
          <w:sz w:val="32"/>
          <w:szCs w:val="32"/>
        </w:rPr>
        <w:t>。重点项目共完成投资</w:t>
      </w:r>
      <w:r>
        <w:rPr>
          <w:rFonts w:ascii="Times New Roman" w:hAnsi="Times New Roman" w:eastAsia="仿宋_GB2312" w:cs="Times New Roman"/>
          <w:sz w:val="32"/>
          <w:szCs w:val="32"/>
        </w:rPr>
        <w:t>950</w:t>
      </w:r>
      <w:r>
        <w:rPr>
          <w:rFonts w:ascii="Times New Roman" w:hAnsi="仿宋_GB2312" w:eastAsia="仿宋_GB2312" w:cs="Times New Roman"/>
          <w:sz w:val="32"/>
          <w:szCs w:val="32"/>
        </w:rPr>
        <w:t>亿元，比</w:t>
      </w:r>
      <w:r>
        <w:rPr>
          <w:rFonts w:ascii="Times New Roman" w:hAnsi="Times New Roman" w:eastAsia="仿宋_GB2312" w:cs="Times New Roman"/>
          <w:sz w:val="32"/>
          <w:szCs w:val="32"/>
        </w:rPr>
        <w:t>“</w:t>
      </w:r>
      <w:r>
        <w:rPr>
          <w:rFonts w:ascii="Times New Roman" w:hAnsi="仿宋_GB2312" w:eastAsia="仿宋_GB2312" w:cs="Times New Roman"/>
          <w:sz w:val="32"/>
          <w:szCs w:val="32"/>
        </w:rPr>
        <w:t>十二五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时期增长</w:t>
      </w:r>
      <w:r>
        <w:rPr>
          <w:rFonts w:ascii="Times New Roman" w:hAnsi="Times New Roman" w:eastAsia="仿宋_GB2312" w:cs="Times New Roman"/>
          <w:sz w:val="32"/>
          <w:szCs w:val="32"/>
        </w:rPr>
        <w:t>73%</w:t>
      </w:r>
      <w:r>
        <w:rPr>
          <w:rFonts w:ascii="Times New Roman" w:hAnsi="仿宋_GB2312" w:eastAsia="仿宋_GB2312" w:cs="Times New Roman"/>
          <w:sz w:val="32"/>
          <w:szCs w:val="32"/>
        </w:rPr>
        <w:t>。创新能力不断增强，</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20</w:t>
      </w:r>
      <w:r>
        <w:rPr>
          <w:rFonts w:ascii="Times New Roman" w:hAnsi="仿宋_GB2312" w:eastAsia="仿宋_GB2312" w:cs="Times New Roman"/>
          <w:sz w:val="32"/>
          <w:szCs w:val="32"/>
        </w:rPr>
        <w:t>年全社会科技研发（</w:t>
      </w:r>
      <w:r>
        <w:rPr>
          <w:rFonts w:ascii="Times New Roman" w:hAnsi="Times New Roman" w:eastAsia="仿宋_GB2312" w:cs="Times New Roman"/>
          <w:sz w:val="32"/>
          <w:szCs w:val="32"/>
        </w:rPr>
        <w:t>R&amp;D</w:t>
      </w:r>
      <w:r>
        <w:rPr>
          <w:rFonts w:ascii="Times New Roman" w:hAnsi="仿宋_GB2312" w:eastAsia="仿宋_GB2312" w:cs="Times New Roman"/>
          <w:sz w:val="32"/>
          <w:szCs w:val="32"/>
        </w:rPr>
        <w:t>）投入占生产总值比重提高到</w:t>
      </w:r>
      <w:r>
        <w:rPr>
          <w:rFonts w:ascii="Times New Roman" w:hAnsi="Times New Roman" w:eastAsia="仿宋_GB2312" w:cs="Times New Roman"/>
          <w:sz w:val="32"/>
          <w:szCs w:val="32"/>
        </w:rPr>
        <w:t>2.2%</w:t>
      </w:r>
      <w:r>
        <w:rPr>
          <w:rFonts w:ascii="Times New Roman" w:hAnsi="仿宋_GB2312" w:eastAsia="仿宋_GB2312" w:cs="Times New Roman"/>
          <w:sz w:val="32"/>
          <w:szCs w:val="32"/>
        </w:rPr>
        <w:t>，比</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年提高</w:t>
      </w:r>
      <w:r>
        <w:rPr>
          <w:rFonts w:ascii="Times New Roman" w:hAnsi="Times New Roman" w:eastAsia="仿宋_GB2312" w:cs="Times New Roman"/>
          <w:sz w:val="32"/>
          <w:szCs w:val="32"/>
        </w:rPr>
        <w:t>0.33</w:t>
      </w:r>
      <w:r>
        <w:rPr>
          <w:rFonts w:ascii="Times New Roman" w:hAnsi="仿宋_GB2312" w:eastAsia="仿宋_GB2312" w:cs="Times New Roman"/>
          <w:sz w:val="32"/>
          <w:szCs w:val="32"/>
        </w:rPr>
        <w:t>个百分点。</w:t>
      </w:r>
    </w:p>
    <w:p>
      <w:pPr>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湾区建设步伐加快。</w:t>
      </w:r>
      <w:r>
        <w:rPr>
          <w:rFonts w:ascii="Times New Roman" w:hAnsi="仿宋_GB2312" w:eastAsia="仿宋_GB2312" w:cs="Times New Roman"/>
          <w:sz w:val="32"/>
          <w:szCs w:val="32"/>
        </w:rPr>
        <w:t>基础设施互联互通有序推进，累计完成交通投资超</w:t>
      </w:r>
      <w:r>
        <w:rPr>
          <w:rFonts w:ascii="Times New Roman" w:hAnsi="Times New Roman" w:eastAsia="仿宋_GB2312" w:cs="Times New Roman"/>
          <w:sz w:val="32"/>
          <w:szCs w:val="32"/>
        </w:rPr>
        <w:t>250</w:t>
      </w:r>
      <w:r>
        <w:rPr>
          <w:rFonts w:ascii="Times New Roman" w:hAnsi="仿宋_GB2312" w:eastAsia="仿宋_GB2312" w:cs="Times New Roman"/>
          <w:sz w:val="32"/>
          <w:szCs w:val="32"/>
        </w:rPr>
        <w:t>亿元。珠西综合交通枢纽江门站、双水镇站建成使用，深茂铁路江茂段投入运营。江门大道五邑路至三江段正式通车，南（东）线全线、南（西）线银鹭大桥西岸至双水段动工，中开高速主体工程加快</w:t>
      </w:r>
      <w:r>
        <w:rPr>
          <w:rFonts w:hint="eastAsia" w:ascii="Times New Roman" w:hAnsi="仿宋_GB2312" w:eastAsia="仿宋_GB2312" w:cs="Times New Roman"/>
          <w:sz w:val="32"/>
          <w:szCs w:val="32"/>
        </w:rPr>
        <w:t>推进</w:t>
      </w:r>
      <w:r>
        <w:rPr>
          <w:rFonts w:ascii="Times New Roman" w:hAnsi="仿宋_GB2312" w:eastAsia="仿宋_GB2312" w:cs="Times New Roman"/>
          <w:sz w:val="32"/>
          <w:szCs w:val="32"/>
        </w:rPr>
        <w:t>，</w:t>
      </w:r>
      <w:r>
        <w:rPr>
          <w:rFonts w:ascii="Times New Roman" w:hAnsi="Times New Roman" w:eastAsia="仿宋_GB2312" w:cs="Times New Roman"/>
          <w:sz w:val="32"/>
          <w:szCs w:val="32"/>
        </w:rPr>
        <w:t>“</w:t>
      </w:r>
      <w:r>
        <w:rPr>
          <w:rFonts w:ascii="Times New Roman" w:hAnsi="仿宋_GB2312" w:eastAsia="仿宋_GB2312" w:cs="Times New Roman"/>
          <w:sz w:val="32"/>
          <w:szCs w:val="32"/>
        </w:rPr>
        <w:t>三纵四横</w:t>
      </w:r>
      <w:r>
        <w:rPr>
          <w:rFonts w:ascii="Times New Roman" w:hAnsi="Times New Roman" w:eastAsia="仿宋_GB2312" w:cs="Times New Roman"/>
          <w:sz w:val="32"/>
          <w:szCs w:val="32"/>
        </w:rPr>
        <w:t>”</w:t>
      </w:r>
      <w:r>
        <w:rPr>
          <w:rFonts w:ascii="Times New Roman" w:hAnsi="仿宋_GB2312" w:eastAsia="仿宋_GB2312" w:cs="Times New Roman"/>
          <w:sz w:val="32"/>
          <w:szCs w:val="32"/>
        </w:rPr>
        <w:t>格局初步形成。镇域交通网络不断延伸，建成</w:t>
      </w:r>
      <w:r>
        <w:rPr>
          <w:rFonts w:ascii="Times New Roman" w:hAnsi="Times New Roman" w:eastAsia="仿宋_GB2312" w:cs="Times New Roman"/>
          <w:sz w:val="32"/>
          <w:szCs w:val="32"/>
        </w:rPr>
        <w:t>“</w:t>
      </w:r>
      <w:r>
        <w:rPr>
          <w:rFonts w:ascii="Times New Roman" w:hAnsi="仿宋_GB2312" w:eastAsia="仿宋_GB2312" w:cs="Times New Roman"/>
          <w:sz w:val="32"/>
          <w:szCs w:val="32"/>
        </w:rPr>
        <w:t>四好农村公路</w:t>
      </w:r>
      <w:r>
        <w:rPr>
          <w:rFonts w:ascii="Times New Roman" w:hAnsi="Times New Roman" w:eastAsia="仿宋_GB2312" w:cs="Times New Roman"/>
          <w:sz w:val="32"/>
          <w:szCs w:val="32"/>
        </w:rPr>
        <w:t>”488</w:t>
      </w:r>
      <w:r>
        <w:rPr>
          <w:rFonts w:ascii="Times New Roman" w:hAnsi="仿宋_GB2312" w:eastAsia="仿宋_GB2312" w:cs="Times New Roman"/>
          <w:sz w:val="32"/>
          <w:szCs w:val="32"/>
        </w:rPr>
        <w:t>公里，全面实现村村通公交。崖门出海航道二期动工建设，天马港二期正式开放。大广海湾保税物流中心（Ｂ型）封关运营。</w:t>
      </w:r>
    </w:p>
    <w:p>
      <w:pPr>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经济活力不断释放。</w:t>
      </w:r>
      <w:r>
        <w:rPr>
          <w:rFonts w:ascii="Times New Roman" w:hAnsi="仿宋_GB2312" w:eastAsia="仿宋_GB2312" w:cs="Times New Roman"/>
          <w:sz w:val="32"/>
          <w:szCs w:val="32"/>
        </w:rPr>
        <w:t>主导产业壮大发展，大健康、新材料、先进制造三大主导产业产值近</w:t>
      </w:r>
      <w:r>
        <w:rPr>
          <w:rFonts w:ascii="Times New Roman" w:hAnsi="Times New Roman" w:eastAsia="仿宋_GB2312" w:cs="Times New Roman"/>
          <w:sz w:val="32"/>
          <w:szCs w:val="32"/>
        </w:rPr>
        <w:t>700</w:t>
      </w:r>
      <w:r>
        <w:rPr>
          <w:rFonts w:ascii="Times New Roman" w:hAnsi="仿宋_GB2312" w:eastAsia="仿宋_GB2312" w:cs="Times New Roman"/>
          <w:sz w:val="32"/>
          <w:szCs w:val="32"/>
        </w:rPr>
        <w:t>亿元。创新动能不断积蓄，连续</w:t>
      </w:r>
      <w:r>
        <w:rPr>
          <w:rFonts w:ascii="Times New Roman" w:hAnsi="Times New Roman" w:eastAsia="仿宋_GB2312" w:cs="Times New Roman"/>
          <w:sz w:val="32"/>
          <w:szCs w:val="32"/>
        </w:rPr>
        <w:t>6</w:t>
      </w:r>
      <w:r>
        <w:rPr>
          <w:rFonts w:ascii="Times New Roman" w:hAnsi="仿宋_GB2312" w:eastAsia="仿宋_GB2312" w:cs="Times New Roman"/>
          <w:sz w:val="32"/>
          <w:szCs w:val="32"/>
        </w:rPr>
        <w:t>年举办创新创业大赛，高企存量达</w:t>
      </w:r>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5</w:t>
      </w:r>
      <w:r>
        <w:rPr>
          <w:rFonts w:ascii="Times New Roman" w:hAnsi="仿宋_GB2312" w:eastAsia="仿宋_GB2312" w:cs="Times New Roman"/>
          <w:sz w:val="32"/>
          <w:szCs w:val="32"/>
        </w:rPr>
        <w:t>家，跃居全市第一，建成省级技术中心</w:t>
      </w:r>
      <w:r>
        <w:rPr>
          <w:rFonts w:ascii="Times New Roman" w:hAnsi="Times New Roman" w:eastAsia="仿宋_GB2312" w:cs="Times New Roman"/>
          <w:sz w:val="32"/>
          <w:szCs w:val="32"/>
        </w:rPr>
        <w:t>14</w:t>
      </w:r>
      <w:r>
        <w:rPr>
          <w:rFonts w:ascii="Times New Roman" w:hAnsi="仿宋_GB2312" w:eastAsia="仿宋_GB2312" w:cs="Times New Roman"/>
          <w:sz w:val="32"/>
          <w:szCs w:val="32"/>
        </w:rPr>
        <w:t>家、省市工程中心</w:t>
      </w:r>
      <w:r>
        <w:rPr>
          <w:rFonts w:ascii="Times New Roman" w:hAnsi="Times New Roman" w:eastAsia="仿宋_GB2312" w:cs="Times New Roman"/>
          <w:sz w:val="32"/>
          <w:szCs w:val="32"/>
        </w:rPr>
        <w:t>385</w:t>
      </w:r>
      <w:r>
        <w:rPr>
          <w:rFonts w:ascii="Times New Roman" w:hAnsi="仿宋_GB2312" w:eastAsia="仿宋_GB2312" w:cs="Times New Roman"/>
          <w:sz w:val="32"/>
          <w:szCs w:val="32"/>
        </w:rPr>
        <w:t>家，</w:t>
      </w:r>
      <w:r>
        <w:rPr>
          <w:rFonts w:ascii="Times New Roman" w:hAnsi="Times New Roman" w:eastAsia="仿宋_GB2312" w:cs="Times New Roman"/>
          <w:sz w:val="32"/>
          <w:szCs w:val="32"/>
        </w:rPr>
        <w:t>创新走廊初步成形，进驻企业近200家。</w:t>
      </w:r>
      <w:r>
        <w:rPr>
          <w:rFonts w:ascii="Times New Roman" w:hAnsi="仿宋_GB2312" w:eastAsia="仿宋_GB2312" w:cs="Times New Roman"/>
          <w:sz w:val="32"/>
          <w:szCs w:val="32"/>
        </w:rPr>
        <w:t>现代服务业发展提速，美吉特、万达广场等城市综合体开业，引入江门农商行大楼项目。全域旅游加快发展，形成</w:t>
      </w:r>
      <w:r>
        <w:rPr>
          <w:rFonts w:ascii="Times New Roman" w:hAnsi="Times New Roman" w:eastAsia="仿宋_GB2312" w:cs="Times New Roman"/>
          <w:sz w:val="32"/>
          <w:szCs w:val="32"/>
        </w:rPr>
        <w:t>“</w:t>
      </w:r>
      <w:r>
        <w:rPr>
          <w:rFonts w:ascii="Times New Roman" w:hAnsi="仿宋_GB2312" w:eastAsia="仿宋_GB2312" w:cs="Times New Roman"/>
          <w:sz w:val="32"/>
          <w:szCs w:val="32"/>
        </w:rPr>
        <w:t>一镇一品</w:t>
      </w:r>
      <w:r>
        <w:rPr>
          <w:rFonts w:ascii="Times New Roman" w:hAnsi="Times New Roman" w:eastAsia="仿宋_GB2312" w:cs="Times New Roman"/>
          <w:sz w:val="32"/>
          <w:szCs w:val="32"/>
        </w:rPr>
        <w:t>”</w:t>
      </w:r>
      <w:r>
        <w:rPr>
          <w:rFonts w:ascii="Times New Roman" w:hAnsi="仿宋_GB2312" w:eastAsia="仿宋_GB2312" w:cs="Times New Roman"/>
          <w:sz w:val="32"/>
          <w:szCs w:val="32"/>
        </w:rPr>
        <w:t>乡村游格局。传统产业焕发新活力，成功创建新会陈皮国家现代农业产业园，举办新会陈皮文化节、古典家具文化博览会、香文化博览会等活动。</w:t>
      </w:r>
    </w:p>
    <w:p>
      <w:pPr>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融合发展迈出新步伐。</w:t>
      </w:r>
      <w:r>
        <w:rPr>
          <w:rFonts w:ascii="Times New Roman" w:hAnsi="仿宋_GB2312" w:eastAsia="仿宋_GB2312" w:cs="Times New Roman"/>
          <w:sz w:val="32"/>
          <w:szCs w:val="32"/>
        </w:rPr>
        <w:t>以粤港澳大湾区建设为</w:t>
      </w:r>
      <w:r>
        <w:rPr>
          <w:rFonts w:ascii="Times New Roman" w:hAnsi="Times New Roman" w:eastAsia="仿宋_GB2312" w:cs="Times New Roman"/>
          <w:sz w:val="32"/>
          <w:szCs w:val="32"/>
        </w:rPr>
        <w:t>“</w:t>
      </w:r>
      <w:r>
        <w:rPr>
          <w:rFonts w:ascii="Times New Roman" w:hAnsi="仿宋_GB2312" w:eastAsia="仿宋_GB2312" w:cs="Times New Roman"/>
          <w:sz w:val="32"/>
          <w:szCs w:val="32"/>
        </w:rPr>
        <w:t>纲</w:t>
      </w:r>
      <w:r>
        <w:rPr>
          <w:rFonts w:ascii="Times New Roman" w:hAnsi="Times New Roman" w:eastAsia="仿宋_GB2312" w:cs="Times New Roman"/>
          <w:sz w:val="32"/>
          <w:szCs w:val="32"/>
        </w:rPr>
        <w:t>”</w:t>
      </w:r>
      <w:r>
        <w:rPr>
          <w:rFonts w:ascii="Times New Roman" w:hAnsi="仿宋_GB2312" w:eastAsia="仿宋_GB2312" w:cs="Times New Roman"/>
          <w:sz w:val="32"/>
          <w:szCs w:val="32"/>
        </w:rPr>
        <w:t>，全力支持配合深圳先行示范区建设。银湖湾滨海新区建设步伐加快，成立银湖湾滨海新区管委会，主动配合谋划粤港澳大湾区（珠西）高端产业集聚发展区建设，核心区十大项目全面启动。珠西枢纽新城发展能级提升，总投资超</w:t>
      </w:r>
      <w:r>
        <w:rPr>
          <w:rFonts w:ascii="Times New Roman" w:hAnsi="Times New Roman" w:eastAsia="仿宋_GB2312" w:cs="Times New Roman"/>
          <w:sz w:val="32"/>
          <w:szCs w:val="32"/>
        </w:rPr>
        <w:t>50</w:t>
      </w:r>
      <w:r>
        <w:rPr>
          <w:rFonts w:ascii="Times New Roman" w:hAnsi="仿宋_GB2312" w:eastAsia="仿宋_GB2312" w:cs="Times New Roman"/>
          <w:sz w:val="32"/>
          <w:szCs w:val="32"/>
        </w:rPr>
        <w:t>亿元的</w:t>
      </w:r>
      <w:r>
        <w:rPr>
          <w:rFonts w:ascii="Times New Roman" w:hAnsi="Times New Roman" w:eastAsia="仿宋_GB2312" w:cs="Times New Roman"/>
          <w:sz w:val="32"/>
          <w:szCs w:val="32"/>
        </w:rPr>
        <w:t>12</w:t>
      </w:r>
      <w:r>
        <w:rPr>
          <w:rFonts w:ascii="Times New Roman" w:hAnsi="仿宋_GB2312" w:eastAsia="仿宋_GB2312" w:cs="Times New Roman"/>
          <w:sz w:val="32"/>
          <w:szCs w:val="32"/>
        </w:rPr>
        <w:t>个配套项目加快建设，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珠西城市客厅</w:t>
      </w:r>
      <w:r>
        <w:rPr>
          <w:rFonts w:ascii="Times New Roman" w:hAnsi="Times New Roman" w:eastAsia="仿宋_GB2312" w:cs="Times New Roman"/>
          <w:sz w:val="32"/>
          <w:szCs w:val="32"/>
        </w:rPr>
        <w:t>”</w:t>
      </w:r>
      <w:r>
        <w:rPr>
          <w:rFonts w:ascii="Times New Roman" w:hAnsi="仿宋_GB2312" w:eastAsia="仿宋_GB2312" w:cs="Times New Roman"/>
          <w:sz w:val="32"/>
          <w:szCs w:val="32"/>
        </w:rPr>
        <w:t>功能不断完善。平台建设日臻完善，三大万亩园区四大片区全部纳入省级产业转移园，基础设施配套逐步完善，芳源、道氏、中南高科、万洋众创城等项目稳步推进。</w:t>
      </w:r>
    </w:p>
    <w:p>
      <w:pPr>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民生福祉更有温度。</w:t>
      </w:r>
      <w:r>
        <w:rPr>
          <w:rFonts w:ascii="Times New Roman" w:hAnsi="仿宋_GB2312" w:eastAsia="仿宋_GB2312" w:cs="Times New Roman"/>
          <w:sz w:val="32"/>
          <w:szCs w:val="32"/>
        </w:rPr>
        <w:t>实现城乡居民收入增长与经济发展同步，</w:t>
      </w:r>
      <w:r>
        <w:rPr>
          <w:rFonts w:hint="eastAsia" w:ascii="Times New Roman" w:hAnsi="仿宋_GB2312" w:eastAsia="仿宋_GB2312" w:cs="Times New Roman"/>
          <w:sz w:val="32"/>
          <w:szCs w:val="32"/>
        </w:rPr>
        <w:t>2020</w:t>
      </w:r>
      <w:r>
        <w:rPr>
          <w:rFonts w:ascii="Times New Roman" w:hAnsi="仿宋_GB2312" w:eastAsia="仿宋_GB2312" w:cs="Times New Roman"/>
          <w:sz w:val="32"/>
          <w:szCs w:val="32"/>
        </w:rPr>
        <w:t>年城乡居民人均可支配收入</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6</w:t>
      </w:r>
      <w:r>
        <w:rPr>
          <w:rFonts w:ascii="Times New Roman" w:hAnsi="仿宋_GB2312" w:eastAsia="仿宋_GB2312" w:cs="Times New Roman"/>
          <w:sz w:val="32"/>
          <w:szCs w:val="32"/>
        </w:rPr>
        <w:t>万元，</w:t>
      </w:r>
      <w:r>
        <w:rPr>
          <w:rFonts w:hint="eastAsia" w:ascii="Times New Roman" w:hAnsi="仿宋_GB2312" w:eastAsia="仿宋_GB2312" w:cs="Times New Roman"/>
          <w:sz w:val="32"/>
          <w:szCs w:val="32"/>
        </w:rPr>
        <w:t>五年</w:t>
      </w:r>
      <w:r>
        <w:rPr>
          <w:rFonts w:ascii="Times New Roman" w:hAnsi="仿宋_GB2312" w:eastAsia="仿宋_GB2312" w:cs="Times New Roman"/>
          <w:sz w:val="32"/>
          <w:szCs w:val="32"/>
        </w:rPr>
        <w:t>年均增长</w:t>
      </w:r>
      <w:r>
        <w:rPr>
          <w:rFonts w:hint="eastAsia" w:ascii="Times New Roman" w:hAnsi="仿宋_GB2312" w:eastAsia="仿宋_GB2312" w:cs="Times New Roman"/>
          <w:sz w:val="32"/>
          <w:szCs w:val="32"/>
        </w:rPr>
        <w:t>9.4</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ascii="Times New Roman" w:hAnsi="Times New Roman" w:eastAsia="仿宋_GB2312" w:cs="Times New Roman"/>
          <w:sz w:val="32"/>
          <w:szCs w:val="32"/>
        </w:rPr>
        <w:t>“</w:t>
      </w:r>
      <w:r>
        <w:rPr>
          <w:rFonts w:ascii="Times New Roman" w:hAnsi="仿宋_GB2312" w:eastAsia="仿宋_GB2312" w:cs="Times New Roman"/>
          <w:sz w:val="32"/>
          <w:szCs w:val="32"/>
        </w:rPr>
        <w:t>十三五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期间，民生支出</w:t>
      </w:r>
      <w:r>
        <w:rPr>
          <w:rFonts w:hint="eastAsia" w:ascii="Times New Roman" w:hAnsi="仿宋_GB2312" w:eastAsia="仿宋_GB2312" w:cs="Times New Roman"/>
          <w:sz w:val="32"/>
          <w:szCs w:val="32"/>
          <w:lang w:eastAsia="zh-CN"/>
        </w:rPr>
        <w:t>超</w:t>
      </w:r>
      <w:r>
        <w:rPr>
          <w:rFonts w:ascii="Times New Roman" w:hAnsi="Times New Roman" w:eastAsia="仿宋_GB2312" w:cs="Times New Roman"/>
          <w:sz w:val="32"/>
          <w:szCs w:val="32"/>
        </w:rPr>
        <w:t>28</w:t>
      </w:r>
      <w:r>
        <w:rPr>
          <w:rFonts w:hint="eastAsia" w:ascii="Times New Roman" w:hAnsi="Times New Roman" w:eastAsia="仿宋_GB2312" w:cs="Times New Roman"/>
          <w:sz w:val="32"/>
          <w:szCs w:val="32"/>
          <w:lang w:val="en-US" w:eastAsia="zh-CN"/>
        </w:rPr>
        <w:t>0</w:t>
      </w:r>
      <w:r>
        <w:rPr>
          <w:rFonts w:ascii="Times New Roman" w:hAnsi="仿宋_GB2312" w:eastAsia="仿宋_GB2312" w:cs="Times New Roman"/>
          <w:sz w:val="32"/>
          <w:szCs w:val="32"/>
        </w:rPr>
        <w:t>亿元，年均增长</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低保和特困人员基本生活补贴持续提标，区养老中心、区儿童福利院新大楼投入使用。扎实推进精准脱贫攻坚战，全区精准扶贫户全部实现脱贫退出。教育均等化供给水平进一步提升，成立</w:t>
      </w:r>
      <w:r>
        <w:rPr>
          <w:rFonts w:ascii="Times New Roman" w:hAnsi="Times New Roman" w:eastAsia="仿宋_GB2312" w:cs="Times New Roman"/>
          <w:sz w:val="32"/>
          <w:szCs w:val="32"/>
        </w:rPr>
        <w:t>13</w:t>
      </w:r>
      <w:r>
        <w:rPr>
          <w:rFonts w:ascii="Times New Roman" w:hAnsi="仿宋_GB2312" w:eastAsia="仿宋_GB2312" w:cs="Times New Roman"/>
          <w:sz w:val="32"/>
          <w:szCs w:val="32"/>
        </w:rPr>
        <w:t>个教育集团</w:t>
      </w:r>
      <w:r>
        <w:rPr>
          <w:rFonts w:ascii="Times New Roman" w:hAnsi="Times New Roman" w:eastAsia="仿宋_GB2312" w:cs="Times New Roman"/>
          <w:sz w:val="32"/>
          <w:szCs w:val="32"/>
        </w:rPr>
        <w:t>，</w:t>
      </w:r>
      <w:r>
        <w:rPr>
          <w:rFonts w:ascii="Times New Roman" w:hAnsi="Times New Roman" w:eastAsia="仿宋_GB2312" w:cs="Times New Roman"/>
          <w:sz w:val="32"/>
        </w:rPr>
        <w:t>建成东区学校、文华小学两所公办义务教育学校和广雅、广外等民办学校，新增优质学位超1.4万个，完成葵城中学等5所学校改制为公办学校。</w:t>
      </w:r>
      <w:r>
        <w:rPr>
          <w:rFonts w:ascii="Times New Roman" w:hAnsi="仿宋_GB2312" w:eastAsia="仿宋_GB2312" w:cs="Times New Roman"/>
          <w:sz w:val="32"/>
          <w:szCs w:val="32"/>
          <w:lang w:val="zh-CN"/>
        </w:rPr>
        <w:t>全面推进县域紧密型医共体建设。</w:t>
      </w:r>
      <w:r>
        <w:rPr>
          <w:rFonts w:ascii="Times New Roman" w:hAnsi="仿宋_GB2312" w:eastAsia="仿宋_GB2312" w:cs="Times New Roman"/>
          <w:sz w:val="32"/>
          <w:szCs w:val="32"/>
        </w:rPr>
        <w:t>顺利通过国家卫生城市复审。纵深推进扫黑除恶专项斗争，基本建成</w:t>
      </w:r>
      <w:r>
        <w:rPr>
          <w:rFonts w:ascii="Times New Roman" w:hAnsi="Times New Roman" w:eastAsia="仿宋_GB2312" w:cs="Times New Roman"/>
          <w:sz w:val="32"/>
          <w:szCs w:val="32"/>
        </w:rPr>
        <w:t>“</w:t>
      </w:r>
      <w:r>
        <w:rPr>
          <w:rFonts w:ascii="Times New Roman" w:hAnsi="仿宋_GB2312" w:eastAsia="仿宋_GB2312" w:cs="Times New Roman"/>
          <w:sz w:val="32"/>
          <w:szCs w:val="32"/>
        </w:rPr>
        <w:t>全科网格</w:t>
      </w:r>
      <w:r>
        <w:rPr>
          <w:rFonts w:ascii="Times New Roman" w:hAnsi="Times New Roman" w:eastAsia="仿宋_GB2312" w:cs="Times New Roman"/>
          <w:sz w:val="32"/>
          <w:szCs w:val="32"/>
        </w:rPr>
        <w:t>”</w:t>
      </w:r>
      <w:r>
        <w:rPr>
          <w:rFonts w:ascii="Times New Roman" w:hAnsi="仿宋_GB2312" w:eastAsia="仿宋_GB2312" w:cs="Times New Roman"/>
          <w:sz w:val="32"/>
          <w:szCs w:val="32"/>
        </w:rPr>
        <w:t>服务管理体系。</w:t>
      </w:r>
      <w:r>
        <w:rPr>
          <w:rFonts w:ascii="Times New Roman" w:hAnsi="Times New Roman" w:eastAsia="仿宋_GB2312" w:cs="Times New Roman"/>
          <w:sz w:val="32"/>
          <w:szCs w:val="32"/>
        </w:rPr>
        <w:t>199</w:t>
      </w:r>
      <w:r>
        <w:rPr>
          <w:rFonts w:ascii="Times New Roman" w:hAnsi="仿宋_GB2312" w:eastAsia="仿宋_GB2312" w:cs="Times New Roman"/>
          <w:sz w:val="32"/>
          <w:szCs w:val="32"/>
        </w:rPr>
        <w:t>个行政村达到干净整治村标准，</w:t>
      </w:r>
      <w:r>
        <w:rPr>
          <w:rFonts w:ascii="Times New Roman" w:hAnsi="Times New Roman" w:eastAsia="仿宋_GB2312" w:cs="Times New Roman"/>
          <w:sz w:val="32"/>
          <w:szCs w:val="32"/>
        </w:rPr>
        <w:t>19</w:t>
      </w:r>
      <w:r>
        <w:rPr>
          <w:rFonts w:ascii="Times New Roman" w:hAnsi="仿宋_GB2312" w:eastAsia="仿宋_GB2312" w:cs="Times New Roman"/>
          <w:sz w:val="32"/>
          <w:szCs w:val="32"/>
        </w:rPr>
        <w:t>个村获评省级生态宜居美丽乡村示范村，农村人居环境焕然一新。我区被评为</w:t>
      </w:r>
      <w:r>
        <w:rPr>
          <w:rFonts w:ascii="Times New Roman" w:hAnsi="Times New Roman" w:eastAsia="仿宋_GB2312" w:cs="Times New Roman"/>
          <w:sz w:val="32"/>
          <w:szCs w:val="32"/>
        </w:rPr>
        <w:t>“</w:t>
      </w:r>
      <w:r>
        <w:rPr>
          <w:rFonts w:ascii="Times New Roman" w:hAnsi="仿宋_GB2312" w:eastAsia="仿宋_GB2312" w:cs="Times New Roman"/>
          <w:sz w:val="32"/>
          <w:szCs w:val="32"/>
        </w:rPr>
        <w:t>第二批省级公共文化服务体系示范区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，实现区、镇、村三级公共文化服务设施全覆盖，公共体育设施日趋完善。</w:t>
      </w:r>
    </w:p>
    <w:p>
      <w:pPr>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改革开放开拓新局。</w:t>
      </w:r>
      <w:r>
        <w:rPr>
          <w:rFonts w:ascii="Times New Roman" w:hAnsi="仿宋_GB2312" w:eastAsia="仿宋_GB2312" w:cs="Times New Roman"/>
          <w:sz w:val="32"/>
          <w:szCs w:val="32"/>
        </w:rPr>
        <w:t>持续深化</w:t>
      </w:r>
      <w:r>
        <w:rPr>
          <w:rFonts w:ascii="Times New Roman" w:hAnsi="Times New Roman" w:eastAsia="仿宋_GB2312" w:cs="Times New Roman"/>
          <w:sz w:val="32"/>
          <w:szCs w:val="32"/>
        </w:rPr>
        <w:t>“</w:t>
      </w:r>
      <w:r>
        <w:rPr>
          <w:rFonts w:ascii="Times New Roman" w:hAnsi="仿宋_GB2312" w:eastAsia="仿宋_GB2312" w:cs="Times New Roman"/>
          <w:sz w:val="32"/>
          <w:szCs w:val="32"/>
        </w:rPr>
        <w:t>放管服</w:t>
      </w:r>
      <w:r>
        <w:rPr>
          <w:rFonts w:ascii="Times New Roman" w:hAnsi="Times New Roman" w:eastAsia="仿宋_GB2312" w:cs="Times New Roman"/>
          <w:sz w:val="32"/>
          <w:szCs w:val="32"/>
        </w:rPr>
        <w:t>”</w:t>
      </w:r>
      <w:r>
        <w:rPr>
          <w:rFonts w:ascii="Times New Roman" w:hAnsi="仿宋_GB2312" w:eastAsia="仿宋_GB2312" w:cs="Times New Roman"/>
          <w:sz w:val="32"/>
          <w:szCs w:val="32"/>
        </w:rPr>
        <w:t>改革，推进投资项目审批</w:t>
      </w:r>
      <w:r>
        <w:rPr>
          <w:rFonts w:ascii="Times New Roman" w:hAnsi="Times New Roman" w:eastAsia="仿宋_GB2312" w:cs="Times New Roman"/>
          <w:sz w:val="32"/>
          <w:szCs w:val="32"/>
        </w:rPr>
        <w:t>“</w:t>
      </w:r>
      <w:r>
        <w:rPr>
          <w:rFonts w:ascii="Times New Roman" w:hAnsi="仿宋_GB2312" w:eastAsia="仿宋_GB2312" w:cs="Times New Roman"/>
          <w:sz w:val="32"/>
          <w:szCs w:val="32"/>
        </w:rPr>
        <w:t>最多跑一次</w:t>
      </w:r>
      <w:r>
        <w:rPr>
          <w:rFonts w:ascii="Times New Roman" w:hAnsi="Times New Roman" w:eastAsia="仿宋_GB2312" w:cs="Times New Roman"/>
          <w:sz w:val="32"/>
          <w:szCs w:val="32"/>
        </w:rPr>
        <w:t>”</w:t>
      </w:r>
      <w:r>
        <w:rPr>
          <w:rFonts w:ascii="Times New Roman" w:hAnsi="仿宋_GB2312" w:eastAsia="仿宋_GB2312" w:cs="Times New Roman"/>
          <w:sz w:val="32"/>
          <w:szCs w:val="32"/>
        </w:rPr>
        <w:t>，出台</w:t>
      </w:r>
      <w:r>
        <w:rPr>
          <w:rFonts w:ascii="Times New Roman" w:hAnsi="Times New Roman" w:eastAsia="仿宋_GB2312" w:cs="Times New Roman"/>
          <w:sz w:val="32"/>
          <w:szCs w:val="32"/>
        </w:rPr>
        <w:t>“</w:t>
      </w:r>
      <w:r>
        <w:rPr>
          <w:rFonts w:ascii="Times New Roman" w:hAnsi="仿宋_GB2312" w:eastAsia="仿宋_GB2312" w:cs="Times New Roman"/>
          <w:sz w:val="32"/>
          <w:szCs w:val="32"/>
        </w:rPr>
        <w:t>效益十条</w:t>
      </w:r>
      <w:r>
        <w:rPr>
          <w:rFonts w:ascii="Times New Roman" w:hAnsi="Times New Roman" w:eastAsia="仿宋_GB2312" w:cs="Times New Roman"/>
          <w:sz w:val="32"/>
          <w:szCs w:val="32"/>
        </w:rPr>
        <w:t>”“</w:t>
      </w:r>
      <w:r>
        <w:rPr>
          <w:rFonts w:ascii="Times New Roman" w:hAnsi="仿宋_GB2312" w:eastAsia="仿宋_GB2312" w:cs="Times New Roman"/>
          <w:sz w:val="32"/>
          <w:szCs w:val="32"/>
        </w:rPr>
        <w:t>黄金十条</w:t>
      </w:r>
      <w:r>
        <w:rPr>
          <w:rFonts w:ascii="Times New Roman" w:hAnsi="Times New Roman" w:eastAsia="仿宋_GB2312" w:cs="Times New Roman"/>
          <w:sz w:val="32"/>
          <w:szCs w:val="32"/>
        </w:rPr>
        <w:t>”“</w:t>
      </w:r>
      <w:r>
        <w:rPr>
          <w:rFonts w:ascii="Times New Roman" w:hAnsi="仿宋_GB2312" w:eastAsia="仿宋_GB2312" w:cs="Times New Roman"/>
          <w:sz w:val="32"/>
          <w:szCs w:val="32"/>
        </w:rPr>
        <w:t>政令十条</w:t>
      </w:r>
      <w:r>
        <w:rPr>
          <w:rFonts w:ascii="Times New Roman" w:hAnsi="Times New Roman" w:eastAsia="仿宋_GB2312" w:cs="Times New Roman"/>
          <w:sz w:val="32"/>
          <w:szCs w:val="32"/>
        </w:rPr>
        <w:t>”</w:t>
      </w:r>
      <w:r>
        <w:rPr>
          <w:rFonts w:ascii="Times New Roman" w:hAnsi="仿宋_GB2312" w:eastAsia="仿宋_GB2312" w:cs="Times New Roman"/>
          <w:sz w:val="32"/>
          <w:szCs w:val="32"/>
        </w:rPr>
        <w:t>等政策，实施承诺制及容缺审批等改革，为企业主体带来优质、高效的政务服务。在全省率先实施多个对民窗口休息日预约服务，缓解群众工作日办事难的矛盾。商事制度改革提档增速，企业开办全流程</w:t>
      </w:r>
      <w:r>
        <w:rPr>
          <w:rFonts w:ascii="Times New Roman" w:hAnsi="Times New Roman" w:eastAsia="仿宋_GB2312" w:cs="Times New Roman"/>
          <w:sz w:val="32"/>
          <w:szCs w:val="32"/>
        </w:rPr>
        <w:t>1</w:t>
      </w:r>
      <w:r>
        <w:rPr>
          <w:rFonts w:ascii="Times New Roman" w:hAnsi="仿宋_GB2312" w:eastAsia="仿宋_GB2312" w:cs="Times New Roman"/>
          <w:sz w:val="32"/>
          <w:szCs w:val="32"/>
        </w:rPr>
        <w:t>天办结。全面启动</w:t>
      </w:r>
      <w:r>
        <w:rPr>
          <w:rFonts w:ascii="Times New Roman" w:hAnsi="Times New Roman" w:eastAsia="仿宋_GB2312" w:cs="Times New Roman"/>
          <w:sz w:val="32"/>
          <w:szCs w:val="32"/>
        </w:rPr>
        <w:t>“</w:t>
      </w:r>
      <w:r>
        <w:rPr>
          <w:rFonts w:ascii="Times New Roman" w:hAnsi="仿宋_GB2312" w:eastAsia="仿宋_GB2312" w:cs="Times New Roman"/>
          <w:sz w:val="32"/>
          <w:szCs w:val="32"/>
        </w:rPr>
        <w:t>数字政府</w:t>
      </w:r>
      <w:r>
        <w:rPr>
          <w:rFonts w:ascii="Times New Roman" w:hAnsi="Times New Roman" w:eastAsia="仿宋_GB2312" w:cs="Times New Roman"/>
          <w:sz w:val="32"/>
          <w:szCs w:val="32"/>
        </w:rPr>
        <w:t>”</w:t>
      </w:r>
      <w:r>
        <w:rPr>
          <w:rFonts w:ascii="Times New Roman" w:hAnsi="仿宋_GB2312" w:eastAsia="仿宋_GB2312" w:cs="Times New Roman"/>
          <w:sz w:val="32"/>
          <w:szCs w:val="32"/>
        </w:rPr>
        <w:t>建设，</w:t>
      </w:r>
      <w:r>
        <w:rPr>
          <w:rFonts w:ascii="Times New Roman" w:hAnsi="Times New Roman" w:eastAsia="仿宋_GB2312" w:cs="Times New Roman"/>
          <w:sz w:val="32"/>
        </w:rPr>
        <w:t>655项审批事项实现全程网办</w:t>
      </w:r>
      <w:r>
        <w:rPr>
          <w:rFonts w:ascii="Times New Roman" w:hAnsi="Times New Roman" w:eastAsia="仿宋_GB2312" w:cs="Times New Roman"/>
          <w:sz w:val="32"/>
          <w:szCs w:val="32"/>
        </w:rPr>
        <w:t>。</w:t>
      </w:r>
    </w:p>
    <w:p>
      <w:pPr>
        <w:pStyle w:val="3"/>
        <w:spacing w:line="560" w:lineRule="exact"/>
        <w:jc w:val="center"/>
        <w:rPr>
          <w:rFonts w:ascii="Times New Roman" w:hAnsi="Times New Roman" w:eastAsia="楷体_GB2312"/>
          <w:b w:val="0"/>
          <w:bCs w:val="0"/>
        </w:rPr>
      </w:pPr>
      <w:bookmarkStart w:id="13" w:name="_Toc24131"/>
      <w:bookmarkStart w:id="14" w:name="_Toc12500"/>
      <w:bookmarkStart w:id="15" w:name="_Toc16345"/>
      <w:bookmarkStart w:id="16" w:name="_Toc28674"/>
      <w:bookmarkStart w:id="17" w:name="_Toc60738008"/>
      <w:bookmarkStart w:id="18" w:name="_Toc61946311"/>
      <w:r>
        <w:rPr>
          <w:rFonts w:ascii="Times New Roman" w:hAnsi="楷体_GB2312" w:eastAsia="楷体_GB2312"/>
          <w:b w:val="0"/>
          <w:bCs w:val="0"/>
        </w:rPr>
        <w:t>第二节</w:t>
      </w:r>
      <w:r>
        <w:rPr>
          <w:rFonts w:hint="eastAsia" w:ascii="Times New Roman" w:hAnsi="楷体_GB2312" w:eastAsia="楷体_GB2312"/>
          <w:b w:val="0"/>
          <w:bCs w:val="0"/>
          <w:lang w:val="en-US" w:eastAsia="zh-CN"/>
        </w:rPr>
        <w:t xml:space="preserve"> </w:t>
      </w:r>
      <w:r>
        <w:rPr>
          <w:rFonts w:ascii="Times New Roman" w:hAnsi="Times New Roman" w:eastAsia="楷体_GB2312"/>
          <w:b w:val="0"/>
          <w:bCs w:val="0"/>
        </w:rPr>
        <w:t>“</w:t>
      </w:r>
      <w:r>
        <w:rPr>
          <w:rFonts w:ascii="Times New Roman" w:hAnsi="楷体_GB2312" w:eastAsia="楷体_GB2312"/>
          <w:b w:val="0"/>
          <w:bCs w:val="0"/>
        </w:rPr>
        <w:t>十四五</w:t>
      </w:r>
      <w:r>
        <w:rPr>
          <w:rFonts w:ascii="Times New Roman" w:hAnsi="Times New Roman" w:eastAsia="楷体_GB2312"/>
          <w:b w:val="0"/>
          <w:bCs w:val="0"/>
        </w:rPr>
        <w:t>”</w:t>
      </w:r>
      <w:r>
        <w:rPr>
          <w:rFonts w:ascii="Times New Roman" w:hAnsi="楷体_GB2312" w:eastAsia="楷体_GB2312"/>
          <w:b w:val="0"/>
          <w:bCs w:val="0"/>
        </w:rPr>
        <w:t>时期发展形势</w:t>
      </w:r>
      <w:bookmarkEnd w:id="13"/>
      <w:bookmarkEnd w:id="14"/>
      <w:bookmarkEnd w:id="15"/>
      <w:bookmarkEnd w:id="16"/>
      <w:bookmarkEnd w:id="17"/>
      <w:bookmarkEnd w:id="18"/>
    </w:p>
    <w:p>
      <w:pPr>
        <w:spacing w:line="560" w:lineRule="exact"/>
        <w:ind w:firstLine="6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时期，我区经济社会发展的外部环境和内部环境将远比</w:t>
      </w:r>
      <w:r>
        <w:rPr>
          <w:rFonts w:ascii="Times New Roman" w:hAnsi="Times New Roman" w:eastAsia="仿宋_GB2312" w:cs="Times New Roman"/>
          <w:sz w:val="32"/>
          <w:szCs w:val="32"/>
        </w:rPr>
        <w:t>“</w:t>
      </w:r>
      <w:r>
        <w:rPr>
          <w:rFonts w:ascii="Times New Roman" w:hAnsi="仿宋_GB2312" w:eastAsia="仿宋_GB2312" w:cs="Times New Roman"/>
          <w:sz w:val="32"/>
          <w:szCs w:val="32"/>
        </w:rPr>
        <w:t>十三五</w:t>
      </w:r>
      <w:r>
        <w:rPr>
          <w:rFonts w:ascii="Times New Roman" w:hAnsi="Times New Roman" w:eastAsia="仿宋_GB2312" w:cs="Times New Roman"/>
          <w:sz w:val="32"/>
          <w:szCs w:val="32"/>
        </w:rPr>
        <w:t>”</w:t>
      </w:r>
      <w:r>
        <w:rPr>
          <w:rFonts w:ascii="Times New Roman" w:hAnsi="仿宋_GB2312" w:eastAsia="仿宋_GB2312" w:cs="Times New Roman"/>
          <w:sz w:val="32"/>
          <w:szCs w:val="32"/>
        </w:rPr>
        <w:t>复杂。</w:t>
      </w:r>
    </w:p>
    <w:p>
      <w:pPr>
        <w:spacing w:line="560" w:lineRule="exact"/>
        <w:ind w:firstLine="600"/>
        <w:jc w:val="both"/>
        <w:rPr>
          <w:rFonts w:ascii="Times New Roman" w:hAnsi="Times New Roman" w:cs="Times New Roman"/>
          <w:sz w:val="32"/>
          <w:szCs w:val="32"/>
        </w:rPr>
      </w:pPr>
      <w:r>
        <w:rPr>
          <w:rFonts w:ascii="Times New Roman" w:hAnsi="仿宋_GB2312" w:eastAsia="仿宋_GB2312" w:cs="Times New Roman"/>
          <w:b/>
          <w:sz w:val="32"/>
          <w:szCs w:val="32"/>
        </w:rPr>
        <w:t>世界处于百年变局，新会要以更高远战略参与</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双循环</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做到谋国内与拓国际的联动</w:t>
      </w:r>
      <w:r>
        <w:rPr>
          <w:rFonts w:ascii="Times New Roman" w:hAnsi="仿宋_GB2312" w:eastAsia="仿宋_GB2312" w:cs="Times New Roman"/>
          <w:sz w:val="32"/>
          <w:szCs w:val="32"/>
        </w:rPr>
        <w:t>。全球治理体系面临深度调整，中美大国博弈出现新形势，世界经济运行风险和不确定性显著上升，要求我们加快构建以国内大循环为主体、国内国际双循环相互促进的新发展格局。新会侨务资源丰富，要善用</w:t>
      </w:r>
      <w:r>
        <w:rPr>
          <w:rFonts w:ascii="Times New Roman" w:hAnsi="Times New Roman" w:eastAsia="仿宋_GB2312" w:cs="Times New Roman"/>
          <w:sz w:val="32"/>
          <w:szCs w:val="32"/>
        </w:rPr>
        <w:t>“</w:t>
      </w:r>
      <w:r>
        <w:rPr>
          <w:rFonts w:ascii="Times New Roman" w:hAnsi="仿宋_GB2312" w:eastAsia="仿宋_GB2312" w:cs="Times New Roman"/>
          <w:sz w:val="32"/>
          <w:szCs w:val="32"/>
        </w:rPr>
        <w:t>两个市场、两种资源</w:t>
      </w:r>
      <w:r>
        <w:rPr>
          <w:rFonts w:ascii="Times New Roman" w:hAnsi="Times New Roman" w:eastAsia="仿宋_GB2312" w:cs="Times New Roman"/>
          <w:sz w:val="32"/>
          <w:szCs w:val="32"/>
        </w:rPr>
        <w:t>”</w:t>
      </w:r>
      <w:r>
        <w:rPr>
          <w:rFonts w:ascii="Times New Roman" w:hAnsi="仿宋_GB2312" w:eastAsia="仿宋_GB2312" w:cs="Times New Roman"/>
          <w:sz w:val="32"/>
          <w:szCs w:val="32"/>
        </w:rPr>
        <w:t>，强化在</w:t>
      </w:r>
      <w:r>
        <w:rPr>
          <w:rFonts w:ascii="Times New Roman" w:hAnsi="Times New Roman" w:eastAsia="仿宋_GB2312" w:cs="Times New Roman"/>
          <w:sz w:val="32"/>
          <w:szCs w:val="32"/>
        </w:rPr>
        <w:t>“</w:t>
      </w:r>
      <w:r>
        <w:rPr>
          <w:rFonts w:ascii="Times New Roman" w:hAnsi="仿宋_GB2312" w:eastAsia="仿宋_GB2312" w:cs="Times New Roman"/>
          <w:sz w:val="32"/>
          <w:szCs w:val="32"/>
        </w:rPr>
        <w:t>双循环</w:t>
      </w:r>
      <w:r>
        <w:rPr>
          <w:rFonts w:ascii="Times New Roman" w:hAnsi="Times New Roman" w:eastAsia="仿宋_GB2312" w:cs="Times New Roman"/>
          <w:sz w:val="32"/>
          <w:szCs w:val="32"/>
        </w:rPr>
        <w:t>”</w:t>
      </w:r>
      <w:r>
        <w:rPr>
          <w:rFonts w:ascii="Times New Roman" w:hAnsi="仿宋_GB2312" w:eastAsia="仿宋_GB2312" w:cs="Times New Roman"/>
          <w:sz w:val="32"/>
          <w:szCs w:val="32"/>
        </w:rPr>
        <w:t>中的战略链接功能。一方面，继续坚持开放发展，在深耕发达经济体等传统市场的同时，利用侨胞资源拓展海外市场；另一方面，要善用国内超大规模市场优势和内需潜力，加快推进新型城镇化建设、积极拓展国内市场。要以更加积极的举措挖掘内需潜力，促进新型消费和升级消费，更好发挥消费对经济发展的基础性作用，更加重视投资对优化经济结构的关键性作用。</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现代化建设迈入新征程，新会要以更紧迫意识推动高质量发展、更加以人民幸福为旨归</w:t>
      </w:r>
      <w:r>
        <w:rPr>
          <w:rFonts w:ascii="Times New Roman" w:hAnsi="仿宋_GB2312" w:eastAsia="仿宋_GB2312" w:cs="Times New Roman"/>
          <w:sz w:val="32"/>
          <w:szCs w:val="32"/>
        </w:rPr>
        <w:t>。</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是我国全面建设社会主义现代化国家新征程的开局起步期，加快高质量发展成为时代主题。要以高质量发展为目标，以供给侧结构性改革为主线不动摇，加大重要领域和关键环节的改革力度，大力优化营商环境，向改革要动力，推动经济发展实现量的合理增长和质的稳步提升。要以增强人民福祉为旨归，持续加大民生领域投入，推动城区品质和服务能力升级。打造更幸福的精品宜居城区，大力吸引高端创新要素集聚。</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ascii="Times New Roman" w:hAnsi="仿宋_GB2312" w:eastAsia="仿宋_GB2312" w:cs="Times New Roman"/>
          <w:b/>
          <w:sz w:val="32"/>
          <w:szCs w:val="32"/>
        </w:rPr>
        <w:t>双区驱动</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战略向纵深推进，新会要以更雄伟魄力融入</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三区并进</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发展格局，参与粤港澳大湾区世界级城市群建设</w:t>
      </w:r>
      <w:r>
        <w:rPr>
          <w:rFonts w:ascii="Times New Roman" w:hAnsi="仿宋_GB2312" w:eastAsia="仿宋_GB2312" w:cs="Times New Roman"/>
          <w:sz w:val="32"/>
          <w:szCs w:val="32"/>
        </w:rPr>
        <w:t>。粤港澳大湾区建设不断加速，全省</w:t>
      </w:r>
      <w:r>
        <w:rPr>
          <w:rFonts w:ascii="Times New Roman" w:hAnsi="Times New Roman" w:eastAsia="仿宋_GB2312" w:cs="Times New Roman"/>
          <w:sz w:val="32"/>
          <w:szCs w:val="32"/>
        </w:rPr>
        <w:t>“</w:t>
      </w:r>
      <w:r>
        <w:rPr>
          <w:rFonts w:ascii="Times New Roman" w:hAnsi="仿宋_GB2312" w:eastAsia="仿宋_GB2312" w:cs="Times New Roman"/>
          <w:sz w:val="32"/>
          <w:szCs w:val="32"/>
        </w:rPr>
        <w:t>一核一带一区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区域发展新格局有序推进，深圳以中国特色社会主义先行示范区建设为总牵引，承载更为重大的国家使命。广州聚力老城市新活力和</w:t>
      </w:r>
      <w:r>
        <w:rPr>
          <w:rFonts w:ascii="Times New Roman" w:hAnsi="Times New Roman" w:eastAsia="仿宋_GB2312" w:cs="Times New Roman"/>
          <w:sz w:val="32"/>
          <w:szCs w:val="32"/>
        </w:rPr>
        <w:t>“</w:t>
      </w:r>
      <w:r>
        <w:rPr>
          <w:rFonts w:ascii="Times New Roman" w:hAnsi="仿宋_GB2312" w:eastAsia="仿宋_GB2312" w:cs="Times New Roman"/>
          <w:sz w:val="32"/>
          <w:szCs w:val="32"/>
        </w:rPr>
        <w:t>四个出新出彩</w:t>
      </w:r>
      <w:r>
        <w:rPr>
          <w:rFonts w:ascii="Times New Roman" w:hAnsi="Times New Roman" w:eastAsia="仿宋_GB2312" w:cs="Times New Roman"/>
          <w:sz w:val="32"/>
          <w:szCs w:val="32"/>
        </w:rPr>
        <w:t>”</w:t>
      </w:r>
      <w:r>
        <w:rPr>
          <w:rFonts w:ascii="Times New Roman" w:hAnsi="仿宋_GB2312" w:eastAsia="仿宋_GB2312" w:cs="Times New Roman"/>
          <w:sz w:val="32"/>
          <w:szCs w:val="32"/>
        </w:rPr>
        <w:t>，广深</w:t>
      </w:r>
      <w:r>
        <w:rPr>
          <w:rFonts w:ascii="Times New Roman" w:hAnsi="Times New Roman" w:eastAsia="仿宋_GB2312" w:cs="Times New Roman"/>
          <w:sz w:val="32"/>
          <w:szCs w:val="32"/>
        </w:rPr>
        <w:t>“</w:t>
      </w:r>
      <w:r>
        <w:rPr>
          <w:rFonts w:ascii="Times New Roman" w:hAnsi="仿宋_GB2312" w:eastAsia="仿宋_GB2312" w:cs="Times New Roman"/>
          <w:sz w:val="32"/>
          <w:szCs w:val="32"/>
        </w:rPr>
        <w:t>双核联动</w:t>
      </w:r>
      <w:r>
        <w:rPr>
          <w:rFonts w:ascii="Times New Roman" w:hAnsi="Times New Roman" w:eastAsia="仿宋_GB2312" w:cs="Times New Roman"/>
          <w:sz w:val="32"/>
          <w:szCs w:val="32"/>
        </w:rPr>
        <w:t>”</w:t>
      </w:r>
      <w:r>
        <w:rPr>
          <w:rFonts w:ascii="Times New Roman" w:hAnsi="仿宋_GB2312" w:eastAsia="仿宋_GB2312" w:cs="Times New Roman"/>
          <w:sz w:val="32"/>
          <w:szCs w:val="32"/>
        </w:rPr>
        <w:t>不断强化。新会要充分运用区域战略纵向深入的政策红利和产业机遇，主动承接大湾区中心城市资源要素外溢，积极培育经济新增长点，为珠江西岸城市群崛起作出新会贡献。</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ascii="Times New Roman" w:hAnsi="仿宋_GB2312" w:eastAsia="仿宋_GB2312" w:cs="Times New Roman"/>
          <w:b/>
          <w:sz w:val="32"/>
          <w:szCs w:val="32"/>
        </w:rPr>
        <w:t>江门经济发展主引擎</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任务更加明确，新会要以更有力举措实现抓创新与增动能的突破</w:t>
      </w:r>
      <w:r>
        <w:rPr>
          <w:rFonts w:ascii="Times New Roman" w:hAnsi="仿宋_GB2312" w:eastAsia="仿宋_GB2312" w:cs="Times New Roman"/>
          <w:sz w:val="32"/>
          <w:szCs w:val="32"/>
        </w:rPr>
        <w:t>。建设珠江西岸新增长极和沿海经济带上的江海门户既是江门的发展定位，更指明了新会的战略方向。新会要紧紧抓住世界科技和产业变革的趋势与时间窗口，焕发更为强劲的经济新动能，在江门崛起中扮演更积极的作用。善用</w:t>
      </w:r>
      <w:r>
        <w:rPr>
          <w:rFonts w:ascii="Times New Roman" w:hAnsi="Times New Roman" w:eastAsia="仿宋_GB2312" w:cs="Times New Roman"/>
          <w:sz w:val="32"/>
          <w:szCs w:val="32"/>
        </w:rPr>
        <w:t>“</w:t>
      </w:r>
      <w:r>
        <w:rPr>
          <w:rFonts w:ascii="Times New Roman" w:hAnsi="仿宋_GB2312" w:eastAsia="仿宋_GB2312" w:cs="Times New Roman"/>
          <w:sz w:val="32"/>
          <w:szCs w:val="32"/>
        </w:rPr>
        <w:t>三区并进</w:t>
      </w:r>
      <w:r>
        <w:rPr>
          <w:rFonts w:ascii="Times New Roman" w:hAnsi="Times New Roman" w:eastAsia="仿宋_GB2312" w:cs="Times New Roman"/>
          <w:sz w:val="32"/>
          <w:szCs w:val="32"/>
        </w:rPr>
        <w:t>”</w:t>
      </w:r>
      <w:r>
        <w:rPr>
          <w:rFonts w:ascii="Times New Roman" w:hAnsi="仿宋_GB2312" w:eastAsia="仿宋_GB2312" w:cs="Times New Roman"/>
          <w:sz w:val="32"/>
          <w:szCs w:val="32"/>
        </w:rPr>
        <w:t>战略，切实把沿江沿海资源禀赋优势转化为融通江海的价值优势与产业优势，实现开放发展。同时，</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是新会由传统工业化模式向以先进制造业为主导的现代经济体系跨越发展的关键攻坚期。必须更加聚焦聚力制造业高质量发展，进一步强化工业基础和技术创新能力，补短板与锻长板并举，为江门打造制造强市提供战略支撑。</w:t>
      </w:r>
    </w:p>
    <w:p>
      <w:pPr>
        <w:spacing w:line="560" w:lineRule="exact"/>
        <w:ind w:firstLine="640" w:firstLineChars="200"/>
        <w:jc w:val="both"/>
        <w:rPr>
          <w:rFonts w:ascii="Times New Roman" w:hAnsi="Times New Roman" w:eastAsia="仿宋_GB2312" w:cs="Times New Roman"/>
          <w:b/>
          <w:sz w:val="32"/>
          <w:szCs w:val="32"/>
        </w:rPr>
      </w:pPr>
      <w:r>
        <w:rPr>
          <w:rFonts w:ascii="Times New Roman" w:hAnsi="仿宋_GB2312" w:eastAsia="仿宋_GB2312" w:cs="Times New Roman"/>
          <w:sz w:val="32"/>
          <w:szCs w:val="32"/>
        </w:rPr>
        <w:t>同时，我区经济社会发展中不平衡、不充分的矛盾依然存在：</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一是区域发展开放协同有待提高</w:t>
      </w:r>
      <w:r>
        <w:rPr>
          <w:rFonts w:ascii="Times New Roman" w:hAnsi="仿宋_GB2312" w:eastAsia="仿宋_GB2312" w:cs="Times New Roman"/>
          <w:sz w:val="32"/>
          <w:szCs w:val="32"/>
        </w:rPr>
        <w:t>。与粤港澳大湾区对接依然不足。对粤港澳大湾区重大项目吸引力不大。利用大湾区内广佛都市圈、深圳都市圈优势资源仍不充分，大平台、大项目的支撑力还不够强。与粤港澳大湾区内其他城市的经济定位、行政管理、产业体系等诸多领域不够协调，协同水平还有很大的上升空间。与周边市（区）联动性不足。由于财政管理和行政管理受行政区域划分的局限，新会及其他区市之间的互动多以项目合作形式进行，在管理和实施过程中存在职能重叠或过于分散的问题。</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二是经济发展新动能有待加强</w:t>
      </w:r>
      <w:r>
        <w:rPr>
          <w:rFonts w:ascii="Times New Roman" w:hAnsi="仿宋_GB2312" w:eastAsia="仿宋_GB2312" w:cs="Times New Roman"/>
          <w:sz w:val="32"/>
          <w:szCs w:val="32"/>
        </w:rPr>
        <w:t>。传统产业转型升级较慢，企业生产较为依赖传统能源，全区能源消耗总量仍处于上行增长态势。创新驱动发展优势不明显，传统产业的开发设计能力薄弱，传统服务业现代化进程落后，拥有自主知识产权的产品不多，产业结构优化进程缓慢。主导产业集聚度偏低，新经济培育引进力度不足。产业链和创新链尚未实现深度融合。重大科研机构或平台资源仍然较少，难以为新旧动能转提供技术支撑。人才储备不足，科研领军人员短缺，研究能力有限，原始创新活力较弱。</w:t>
      </w:r>
    </w:p>
    <w:p>
      <w:pPr>
        <w:pBdr>
          <w:left w:val="none" w:color="auto" w:sz="0" w:space="1"/>
        </w:pBd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三是城市建设水平有待提高</w:t>
      </w:r>
      <w:r>
        <w:rPr>
          <w:rFonts w:ascii="Times New Roman" w:hAnsi="仿宋_GB2312" w:eastAsia="仿宋_GB2312" w:cs="Times New Roman"/>
          <w:sz w:val="32"/>
          <w:szCs w:val="32"/>
        </w:rPr>
        <w:t>。全面融入</w:t>
      </w:r>
      <w:r>
        <w:rPr>
          <w:rFonts w:ascii="Times New Roman" w:hAnsi="Times New Roman" w:eastAsia="仿宋_GB2312" w:cs="Times New Roman"/>
          <w:sz w:val="32"/>
          <w:szCs w:val="32"/>
        </w:rPr>
        <w:t>“</w:t>
      </w:r>
      <w:r>
        <w:rPr>
          <w:rFonts w:ascii="Times New Roman" w:hAnsi="仿宋_GB2312" w:eastAsia="仿宋_GB2312" w:cs="Times New Roman"/>
          <w:sz w:val="32"/>
          <w:szCs w:val="32"/>
        </w:rPr>
        <w:t>双区驱动</w:t>
      </w:r>
      <w:r>
        <w:rPr>
          <w:rFonts w:ascii="Times New Roman" w:hAnsi="Times New Roman" w:eastAsia="仿宋_GB2312" w:cs="Times New Roman"/>
          <w:sz w:val="32"/>
          <w:szCs w:val="32"/>
        </w:rPr>
        <w:t>”</w:t>
      </w:r>
      <w:r>
        <w:rPr>
          <w:rFonts w:ascii="Times New Roman" w:hAnsi="仿宋_GB2312" w:eastAsia="仿宋_GB2312" w:cs="Times New Roman"/>
          <w:sz w:val="32"/>
          <w:szCs w:val="32"/>
        </w:rPr>
        <w:t>战略的交通基础设施建设相对不足，城市轨道交通未能启动建设，城市快速道路体系刚刚起步。港口服务功能有待加强。产业空间基础配套有待提升。新基建科学布局还未形成。基本公共服务供给水平还需加快提升。市政基础设施标准有待提升。数字政府建设有待深化，营商环境的难点痛点仍待加快解决。城乡产业发展不均衡，农村产业基础仍然比较薄弱，农业发展水平仍属于初级阶段。农村的硬件和软件基础设施都与高质量发展要求有一定差距。</w:t>
      </w:r>
    </w:p>
    <w:p>
      <w:pPr>
        <w:pBdr>
          <w:left w:val="none" w:color="auto" w:sz="0" w:space="1"/>
        </w:pBdr>
        <w:spacing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尽管外部形势不确定性显著提升，但我区经济社会平稳发展的基础依然坚实，市委、市政府赋予新会当好江门经济发展主引擎和全市高质量发展排头兵的战略定位，要求全力打造千亿</w:t>
      </w:r>
      <w:r>
        <w:rPr>
          <w:rFonts w:ascii="Times New Roman" w:hAnsi="Times New Roman" w:eastAsia="仿宋_GB2312" w:cs="Times New Roman"/>
          <w:sz w:val="32"/>
          <w:szCs w:val="32"/>
        </w:rPr>
        <w:t>GDP</w:t>
      </w:r>
      <w:r>
        <w:rPr>
          <w:rFonts w:ascii="Times New Roman" w:hAnsi="仿宋_GB2312" w:eastAsia="仿宋_GB2312" w:cs="Times New Roman"/>
          <w:sz w:val="32"/>
          <w:szCs w:val="32"/>
        </w:rPr>
        <w:t>强区，发展面临重大机遇，我区必须进一步强化机遇意识、危机意识和责任意识，看清发展大势，找准发展方位，勇于担当，真抓实干，在准确识变、科学应变、主动求变中抢抓新机遇、开创新局面。</w:t>
      </w:r>
    </w:p>
    <w:p>
      <w:pPr>
        <w:pStyle w:val="2"/>
        <w:spacing w:line="560" w:lineRule="exact"/>
        <w:rPr>
          <w:rFonts w:ascii="Times New Roman" w:hAnsi="Times New Roman"/>
          <w:b w:val="0"/>
          <w:bCs/>
          <w:szCs w:val="32"/>
        </w:rPr>
      </w:pPr>
      <w:r>
        <w:rPr>
          <w:rFonts w:ascii="Times New Roman" w:hAnsi="Times New Roman" w:eastAsia="仿宋_GB2312"/>
          <w:szCs w:val="32"/>
        </w:rPr>
        <w:br w:type="page"/>
      </w:r>
      <w:bookmarkStart w:id="19" w:name="_Toc29792"/>
      <w:bookmarkStart w:id="20" w:name="_Toc61946312"/>
      <w:bookmarkStart w:id="21" w:name="_Toc14900"/>
      <w:bookmarkStart w:id="22" w:name="_Toc28315"/>
      <w:bookmarkStart w:id="23" w:name="_Toc60738009"/>
      <w:bookmarkStart w:id="24" w:name="_Toc15429"/>
      <w:bookmarkStart w:id="25" w:name="_Toc29596"/>
      <w:r>
        <w:rPr>
          <w:rFonts w:ascii="Times New Roman"/>
          <w:b w:val="0"/>
          <w:bCs/>
          <w:szCs w:val="32"/>
        </w:rPr>
        <w:t>第二章</w:t>
      </w:r>
      <w:r>
        <w:rPr>
          <w:rFonts w:hint="eastAsia" w:ascii="Times New Roman"/>
          <w:b w:val="0"/>
          <w:bCs/>
          <w:szCs w:val="32"/>
          <w:lang w:val="en-US" w:eastAsia="zh-CN"/>
        </w:rPr>
        <w:t xml:space="preserve"> </w:t>
      </w:r>
      <w:r>
        <w:rPr>
          <w:rFonts w:ascii="Times New Roman"/>
          <w:b w:val="0"/>
          <w:bCs/>
          <w:szCs w:val="32"/>
        </w:rPr>
        <w:t>总体要求</w:t>
      </w:r>
      <w:bookmarkEnd w:id="19"/>
      <w:bookmarkEnd w:id="20"/>
      <w:bookmarkEnd w:id="21"/>
      <w:bookmarkEnd w:id="22"/>
      <w:bookmarkEnd w:id="23"/>
      <w:bookmarkEnd w:id="24"/>
      <w:bookmarkEnd w:id="25"/>
    </w:p>
    <w:p>
      <w:pPr>
        <w:pStyle w:val="3"/>
        <w:spacing w:line="560" w:lineRule="exact"/>
        <w:jc w:val="center"/>
        <w:rPr>
          <w:rFonts w:ascii="Times New Roman" w:hAnsi="Times New Roman" w:eastAsia="楷体_GB2312"/>
          <w:b w:val="0"/>
          <w:bCs w:val="0"/>
        </w:rPr>
      </w:pPr>
      <w:bookmarkStart w:id="26" w:name="_Toc19448"/>
      <w:bookmarkStart w:id="27" w:name="_Toc61946313"/>
      <w:bookmarkStart w:id="28" w:name="_Toc3225"/>
      <w:bookmarkStart w:id="29" w:name="_Toc22541"/>
      <w:bookmarkStart w:id="30" w:name="_Toc724"/>
      <w:bookmarkStart w:id="31" w:name="_Toc60738010"/>
      <w:r>
        <w:rPr>
          <w:rFonts w:ascii="Times New Roman" w:hAnsi="楷体_GB2312" w:eastAsia="楷体_GB2312"/>
          <w:b w:val="0"/>
          <w:bCs w:val="0"/>
        </w:rPr>
        <w:t>第一节</w:t>
      </w:r>
      <w:r>
        <w:rPr>
          <w:rFonts w:hint="eastAsia" w:ascii="Times New Roman" w:hAnsi="楷体_GB2312" w:eastAsia="楷体_GB2312"/>
          <w:b w:val="0"/>
          <w:bCs w:val="0"/>
          <w:lang w:val="en-US" w:eastAsia="zh-CN"/>
        </w:rPr>
        <w:t xml:space="preserve"> </w:t>
      </w:r>
      <w:r>
        <w:rPr>
          <w:rFonts w:ascii="Times New Roman" w:hAnsi="楷体_GB2312" w:eastAsia="楷体_GB2312"/>
          <w:b w:val="0"/>
          <w:bCs w:val="0"/>
        </w:rPr>
        <w:t>指导思想</w:t>
      </w:r>
      <w:bookmarkEnd w:id="26"/>
      <w:bookmarkEnd w:id="27"/>
      <w:bookmarkEnd w:id="28"/>
      <w:bookmarkEnd w:id="29"/>
      <w:bookmarkEnd w:id="30"/>
      <w:bookmarkEnd w:id="31"/>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深入贯彻习近平总书记对广东系列重要讲话和重要指示批示精神，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统筹发展和安全，积极融入新发展格局，认真落实省委“1+1+9”工作部署和市委“1+1+5”工作举措，</w:t>
      </w:r>
      <w:r>
        <w:rPr>
          <w:rFonts w:hint="eastAsia" w:ascii="Times New Roman" w:hAnsi="Times New Roman" w:eastAsia="仿宋_GB2312" w:cs="Times New Roman"/>
          <w:sz w:val="32"/>
          <w:szCs w:val="32"/>
          <w:lang w:eastAsia="zh-CN"/>
        </w:rPr>
        <w:t>深化实施</w:t>
      </w:r>
      <w:r>
        <w:rPr>
          <w:rFonts w:ascii="Times New Roman" w:hAnsi="Times New Roman" w:eastAsia="仿宋_GB2312" w:cs="Times New Roman"/>
          <w:sz w:val="32"/>
          <w:szCs w:val="32"/>
        </w:rPr>
        <w:t>区委“1+1+8”工作思路，坚持工业立区，加快建设现代化</w:t>
      </w:r>
      <w:r>
        <w:rPr>
          <w:rFonts w:hint="eastAsia" w:ascii="Times New Roman" w:hAnsi="Times New Roman" w:eastAsia="仿宋_GB2312" w:cs="Times New Roman"/>
          <w:sz w:val="32"/>
          <w:szCs w:val="32"/>
          <w:lang w:eastAsia="zh-CN"/>
        </w:rPr>
        <w:t>产业</w:t>
      </w:r>
      <w:r>
        <w:rPr>
          <w:rFonts w:ascii="Times New Roman" w:hAnsi="Times New Roman" w:eastAsia="仿宋_GB2312" w:cs="Times New Roman"/>
          <w:sz w:val="32"/>
          <w:szCs w:val="32"/>
        </w:rPr>
        <w:t>体系，推进治理体系和治理能力现代化，实现经济行稳致远、社会安定和谐，</w:t>
      </w:r>
      <w:r>
        <w:rPr>
          <w:rFonts w:hint="eastAsia" w:ascii="Times New Roman" w:hAnsi="Times New Roman" w:eastAsia="仿宋_GB2312" w:cs="Times New Roman"/>
          <w:sz w:val="32"/>
          <w:szCs w:val="32"/>
          <w:lang w:eastAsia="zh-CN"/>
        </w:rPr>
        <w:t>在全市率先</w:t>
      </w:r>
      <w:r>
        <w:rPr>
          <w:rFonts w:ascii="Times New Roman" w:hAnsi="Times New Roman" w:eastAsia="仿宋_GB2312" w:cs="Times New Roman"/>
          <w:sz w:val="32"/>
          <w:szCs w:val="32"/>
        </w:rPr>
        <w:t>跻身千亿GDP强区行列，为江门打造珠江西岸新增长极和沿海经济带上的江海门户，以及全省努力在全面建设社会主义现代化国家新征程中走在全国前列、创造新的辉煌贡献新会力量。</w:t>
      </w:r>
    </w:p>
    <w:p>
      <w:pPr>
        <w:pStyle w:val="3"/>
        <w:spacing w:line="560" w:lineRule="exact"/>
        <w:jc w:val="center"/>
        <w:rPr>
          <w:rFonts w:ascii="Times New Roman" w:hAnsi="Times New Roman" w:eastAsia="楷体_GB2312"/>
          <w:b w:val="0"/>
          <w:bCs w:val="0"/>
        </w:rPr>
      </w:pPr>
      <w:bookmarkStart w:id="32" w:name="_Toc60738011"/>
      <w:bookmarkStart w:id="33" w:name="_Toc29565"/>
      <w:bookmarkStart w:id="34" w:name="_Toc61946314"/>
      <w:bookmarkStart w:id="35" w:name="_Toc7622"/>
      <w:bookmarkStart w:id="36" w:name="_Toc24359"/>
      <w:bookmarkStart w:id="37" w:name="_Toc24675"/>
      <w:r>
        <w:rPr>
          <w:rFonts w:ascii="Times New Roman" w:hAnsi="楷体_GB2312" w:eastAsia="楷体_GB2312"/>
          <w:b w:val="0"/>
          <w:bCs w:val="0"/>
        </w:rPr>
        <w:t>第二节</w:t>
      </w:r>
      <w:r>
        <w:rPr>
          <w:rFonts w:hint="eastAsia" w:ascii="Times New Roman" w:hAnsi="楷体_GB2312" w:eastAsia="楷体_GB2312"/>
          <w:b w:val="0"/>
          <w:bCs w:val="0"/>
          <w:lang w:val="en-US" w:eastAsia="zh-CN"/>
        </w:rPr>
        <w:t xml:space="preserve"> </w:t>
      </w:r>
      <w:r>
        <w:rPr>
          <w:rFonts w:ascii="Times New Roman" w:hAnsi="楷体_GB2312" w:eastAsia="楷体_GB2312"/>
          <w:b w:val="0"/>
          <w:bCs w:val="0"/>
        </w:rPr>
        <w:t>基本原则</w:t>
      </w:r>
      <w:bookmarkEnd w:id="32"/>
      <w:bookmarkEnd w:id="33"/>
      <w:bookmarkEnd w:id="34"/>
      <w:bookmarkEnd w:id="35"/>
      <w:bookmarkEnd w:id="36"/>
      <w:bookmarkEnd w:id="37"/>
    </w:p>
    <w:p>
      <w:pPr>
        <w:spacing w:line="560" w:lineRule="exact"/>
        <w:ind w:firstLine="640" w:firstLineChars="200"/>
        <w:jc w:val="both"/>
        <w:rPr>
          <w:rFonts w:ascii="Times New Roman" w:hAnsi="Times New Roman" w:eastAsia="仿宋_GB2312" w:cs="Times New Roman"/>
          <w:sz w:val="32"/>
          <w:szCs w:val="32"/>
        </w:rPr>
      </w:pPr>
      <w:bookmarkStart w:id="38" w:name="_Toc17536"/>
      <w:r>
        <w:rPr>
          <w:rFonts w:ascii="Times New Roman" w:hAnsi="Times New Roman" w:eastAsia="仿宋_GB2312" w:cs="Times New Roman"/>
          <w:sz w:val="32"/>
          <w:szCs w:val="32"/>
        </w:rPr>
        <w:t>——坚持党的全面领导。坚决维护习近平总书记党中央的核心、全党的核心地位，坚决维护党中央权威和集中统一领导，全面落实新时代党的建设总要求，坚持和完善党领导经济社会发展的体制机制，不断提高贯彻新发展理念、构建新发展格局能力和水平。推动全面从严治党向纵深发展、向基层延伸，坚定不移正风肃纪反腐，不断增强党的创造力、凝聚力、战斗力，为实现高质量发展提供根本保证。</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坚持以人民为中心。坚持人民主体地位，始终做到发展为了人民、发展依靠人民、发展成果由人民共享，维护人民根本利益，激发全区人民的积极性、主动性、创造性，促进社会公平，增进民生福祉，推进教育强区、文化强区、</w:t>
      </w:r>
      <w:r>
        <w:rPr>
          <w:rFonts w:hint="eastAsia" w:ascii="Times New Roman" w:hAnsi="Times New Roman" w:eastAsia="仿宋_GB2312" w:cs="Times New Roman"/>
          <w:sz w:val="32"/>
          <w:szCs w:val="32"/>
          <w:lang w:eastAsia="zh-CN"/>
        </w:rPr>
        <w:t>健康新会、</w:t>
      </w:r>
      <w:r>
        <w:rPr>
          <w:rFonts w:ascii="Times New Roman" w:hAnsi="Times New Roman" w:eastAsia="仿宋_GB2312" w:cs="Times New Roman"/>
          <w:sz w:val="32"/>
          <w:szCs w:val="32"/>
        </w:rPr>
        <w:t>平安新会和</w:t>
      </w:r>
      <w:r>
        <w:rPr>
          <w:rFonts w:hint="eastAsia" w:ascii="Times New Roman" w:hAnsi="Times New Roman" w:eastAsia="仿宋_GB2312" w:cs="Times New Roman"/>
          <w:sz w:val="32"/>
          <w:szCs w:val="32"/>
          <w:lang w:eastAsia="zh-CN"/>
        </w:rPr>
        <w:t>法治</w:t>
      </w:r>
      <w:r>
        <w:rPr>
          <w:rFonts w:ascii="Times New Roman" w:hAnsi="Times New Roman" w:eastAsia="仿宋_GB2312" w:cs="Times New Roman"/>
          <w:sz w:val="32"/>
          <w:szCs w:val="32"/>
        </w:rPr>
        <w:t>新会建设，不断增强人民群众的获得感、幸福感和安全感。</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坚持新发展理念。把新发展理念贯穿发展全过程和各领域，切实转变发展方式，推动质量变革、效率变革、动力变革，加快从要素驱动、投资规模驱动发展为主向以创新驱动发展为主转变，推动经济实现量的合理增长和质的稳步提升，实现更高质量、更有效率、更加公平、更可持续、更为安全的发展。</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坚持深化改革开放。坚定不移推进重要领域和关键环节改革，敢闯敢试、敢为人先，多策划战略战役性改革，多推动创造型引领型改革，强化有利于提高资源配置效率、有利于调动全社会积极性的重大改革举措。充分利用华侨华人资源，坚定不移扩大开放，持续增强发展动力和活力。</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——坚持系统观念。加强前瞻性思考、全局性谋划、战略性布局、整体性推进，坚决服从全国、全省、全市发展大局，坚持全区一盘棋，更好发挥各级各方面积极性，办好发展</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安全两件大事，着力固根基、扬优势、补短板、强弱项，注重防范化解重大风险挑战，实现发展质量、结构、规模、速度、效益、安全相统一。</w:t>
      </w:r>
    </w:p>
    <w:bookmarkEnd w:id="38"/>
    <w:p>
      <w:pPr>
        <w:pStyle w:val="3"/>
        <w:spacing w:line="560" w:lineRule="exact"/>
        <w:jc w:val="center"/>
        <w:rPr>
          <w:rFonts w:ascii="Times New Roman" w:hAnsi="Times New Roman" w:eastAsia="楷体_GB2312"/>
          <w:b w:val="0"/>
          <w:bCs w:val="0"/>
        </w:rPr>
      </w:pPr>
      <w:bookmarkStart w:id="39" w:name="_Toc61946315"/>
      <w:bookmarkStart w:id="40" w:name="_Toc13809"/>
      <w:bookmarkStart w:id="41" w:name="_Toc60738013"/>
      <w:bookmarkStart w:id="42" w:name="_Toc29198"/>
      <w:bookmarkStart w:id="43" w:name="_Toc15350"/>
      <w:bookmarkStart w:id="44" w:name="_Toc11185"/>
      <w:r>
        <w:rPr>
          <w:rFonts w:ascii="Times New Roman" w:hAnsi="楷体_GB2312" w:eastAsia="楷体_GB2312"/>
          <w:b w:val="0"/>
          <w:bCs w:val="0"/>
        </w:rPr>
        <w:t>第三节</w:t>
      </w:r>
      <w:r>
        <w:rPr>
          <w:rFonts w:hint="eastAsia" w:ascii="Times New Roman" w:hAnsi="楷体_GB2312" w:eastAsia="楷体_GB2312"/>
          <w:b w:val="0"/>
          <w:bCs w:val="0"/>
          <w:lang w:val="en-US" w:eastAsia="zh-CN"/>
        </w:rPr>
        <w:t xml:space="preserve"> </w:t>
      </w:r>
      <w:r>
        <w:rPr>
          <w:rFonts w:ascii="Times New Roman" w:hAnsi="楷体_GB2312" w:eastAsia="楷体_GB2312"/>
          <w:b w:val="0"/>
          <w:bCs w:val="0"/>
        </w:rPr>
        <w:t>主要目标</w:t>
      </w:r>
      <w:bookmarkEnd w:id="39"/>
      <w:bookmarkEnd w:id="40"/>
      <w:bookmarkEnd w:id="41"/>
      <w:bookmarkEnd w:id="42"/>
      <w:bookmarkEnd w:id="43"/>
      <w:bookmarkEnd w:id="44"/>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党的十九大提出了</w:t>
      </w:r>
      <w:r>
        <w:rPr>
          <w:rFonts w:hint="eastAsia" w:ascii="Times New Roman" w:hAnsi="Times New Roman" w:eastAsia="仿宋_GB2312" w:cs="Times New Roman"/>
          <w:sz w:val="32"/>
          <w:szCs w:val="32"/>
        </w:rPr>
        <w:t>2035</w:t>
      </w:r>
      <w:r>
        <w:rPr>
          <w:rFonts w:ascii="Times New Roman" w:hAnsi="Times New Roman" w:eastAsia="仿宋_GB2312" w:cs="Times New Roman"/>
          <w:sz w:val="32"/>
          <w:szCs w:val="32"/>
        </w:rPr>
        <w:t>年基本实现社会主义现代化远景目标。展望</w:t>
      </w:r>
      <w:r>
        <w:rPr>
          <w:rFonts w:hint="eastAsia" w:ascii="Times New Roman" w:hAnsi="Times New Roman" w:eastAsia="仿宋_GB2312" w:cs="Times New Roman"/>
          <w:sz w:val="32"/>
          <w:szCs w:val="32"/>
        </w:rPr>
        <w:t>2035</w:t>
      </w:r>
      <w:r>
        <w:rPr>
          <w:rFonts w:ascii="Times New Roman" w:hAnsi="Times New Roman" w:eastAsia="仿宋_GB2312" w:cs="Times New Roman"/>
          <w:sz w:val="32"/>
          <w:szCs w:val="32"/>
        </w:rPr>
        <w:t>年，新会区作为粤港澳大湾区交通枢纽型城市，影响力和辐射作用更加凸显，作为江门经济发展主引擎和全市高质量发展排头兵的地位进一步巩固。经济高质量发展迈上新台阶，综合实力大幅跃升，人均</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生产总值达到更高水平，中等收入群体显著扩大。科技创新能力明显提升，基本实现新型工业化、信息化、城镇化和农业现代化，建成现代化经济体系。全面深化改革不断实现新突破，</w:t>
      </w:r>
      <w:r>
        <w:rPr>
          <w:rFonts w:hint="eastAsia" w:ascii="Times New Roman" w:hAnsi="Times New Roman" w:eastAsia="仿宋_GB2312" w:cs="Times New Roman"/>
          <w:sz w:val="32"/>
          <w:szCs w:val="32"/>
          <w:lang w:eastAsia="zh-CN"/>
        </w:rPr>
        <w:t>开放型</w:t>
      </w:r>
      <w:r>
        <w:rPr>
          <w:rFonts w:ascii="Times New Roman" w:hAnsi="Times New Roman" w:eastAsia="仿宋_GB2312" w:cs="Times New Roman"/>
          <w:sz w:val="32"/>
          <w:szCs w:val="32"/>
        </w:rPr>
        <w:t>经济发展层次更高，构建法治化、市场化、国际化一流营商环境取得丰硕成果。城市品质内外兼修，乡村振兴取得决定性进展，基本公共服务实现均等化，城乡区域发展差距和居民生活水平差距显著缩小，成为</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湾区西翼宜居宜业宜游魅力城市。基本实现社会治理体系和治理能力现代化，人民平等参与、平等发展权利得到充分保障，基本建成法治政府、法治社会。市民素质和社会文明程度达到新高度，</w:t>
      </w:r>
      <w:r>
        <w:rPr>
          <w:rFonts w:hint="eastAsia" w:ascii="Times New Roman" w:hAnsi="Times New Roman" w:eastAsia="仿宋_GB2312" w:cs="Times New Roman"/>
          <w:sz w:val="32"/>
          <w:szCs w:val="32"/>
          <w:lang w:eastAsia="zh-CN"/>
        </w:rPr>
        <w:t>社会主义物质文明和精神文明更加协调</w:t>
      </w:r>
      <w:r>
        <w:rPr>
          <w:rFonts w:ascii="Times New Roman" w:hAnsi="Times New Roman" w:eastAsia="仿宋_GB2312" w:cs="Times New Roman"/>
          <w:sz w:val="32"/>
          <w:szCs w:val="32"/>
        </w:rPr>
        <w:t>，城市文化软实力显著增强。</w:t>
      </w:r>
      <w:r>
        <w:rPr>
          <w:rFonts w:hint="eastAsia" w:ascii="Times New Roman" w:hAnsi="Times New Roman" w:eastAsia="仿宋_GB2312" w:cs="Times New Roman"/>
          <w:sz w:val="32"/>
          <w:szCs w:val="32"/>
          <w:lang w:eastAsia="zh-CN"/>
        </w:rPr>
        <w:t>基本实现人与自然和谐共生，绿色生产生活方式广泛形成，美丽新会建设达到更高水平。群众</w:t>
      </w:r>
      <w:r>
        <w:rPr>
          <w:rFonts w:ascii="Times New Roman" w:hAnsi="Times New Roman" w:eastAsia="仿宋_GB2312" w:cs="Times New Roman"/>
          <w:sz w:val="32"/>
          <w:szCs w:val="32"/>
        </w:rPr>
        <w:t>对美好生活的需要得到更好满足，在更高水平上实现幼有所育、学有所教、劳有所得、病有所医、老有所养、住有所居、弱有所扶，人的全面发展、全体人民共同富裕取得更为明显的实质性进展。</w:t>
      </w:r>
    </w:p>
    <w:p>
      <w:pPr>
        <w:snapToGrid w:val="0"/>
        <w:spacing w:line="560" w:lineRule="exact"/>
        <w:ind w:firstLine="640"/>
        <w:contextualSpacing/>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时期是新会踏上全面建设社会主义现代化国家新征程的开局起步期，到</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年，要在打造江门发展强劲活跃增长极、勇当江门高质量发展排头兵上取得重大突破性进展。</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济发展质量更优。地区生产总值和人均地区生产总值增幅高于全国、全省、珠三角和江门平均水平，经济发展质量和效益明显提升，打牢全面现代化的物质基础。地区生产总值超千亿元，经济总量保持江门领军地位，与周边先进地区差距进一步缩小。新会创新走廊高水平运营，创新能力显著增强，科技创新成为产业转型升级的强大动力；先进制造业发展取得重大突破，三大主导产业总产值超千亿元，产业迈向中高端水平，初步形成支撑高质量发展的现代产业体系；农业产业迈向绿色化、优质化、特色化、品牌化，一二三产实现深度融合发展。新型城镇化和乡村振兴深入协同推进，“一带两核三组团”空间布局基本形成。</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改革开放层次更深。全面完成中央、省委和市委提出的各项改革任务，“放管服”改革、产权制度改革、要素市场化配置改革等取得重大进展，市场主体更加充满活力，形成更加稳定公平透明、可预期的法治化营商环境。珠西综合交通枢纽江门站枢纽辐射带动能力明显增强，实现一小时通达大湾区枢纽机场和主要城市。进一步提升对外开放水平，经贸合作稳中有进，服务贸易快速发展，利用外资质量明显提高，加快融入国内国际双循环相互促进的新发展格局。</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社会文明程度更高。社会主义核心价值观深入人心，群众思想道德素质、科学文化素质和身心健康素质明显提高，省级公共文化服务体系示范区建设成果全面巩固，文化产业全面快速发展，群众精神文化生活日益丰富，文化软实力明显增强，“千年古郡”文化品牌进一步打响。</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生态环境更美。国土空间开发保护格局清晰合理、优势互补，生产生活方式绿色转型成效显著，能源资源配置更加合理、利用效率大幅提高，单位生产总值能源消耗、二氧化碳和主要污染物排放的控制水平达到省、市目标要求。生态环境持续改善，生态系统安全性稳定性显著增强，国家生态文明建设示范区创建成果巩固提升，成为全省乃至全国绿色发展标杆、生态宜居典范。</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人民生活更好。实现更加充分更高质量就业，城乡居民收入与经济发展同步增长，分配结构明显改善，城乡收入差距持续缩小，基本公共服务均等化水平明显提高，全民受教育程度不断提升，多层次社会保障体系更加健全，卫生健康体系更加完善，脱贫攻坚成果有效巩固，乡村振兴战略全面推进。</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治理效能更强。社会主义民主法治更加健全，社会公平正义进一步彰显，行政体系更加完善，政府作用更好发挥，行政效率和公信力显著提升，社会治理特别是基层治理水平明显提高，防范化解重大风险体制机制不断健全，突发公共事件应急能力显著增强，自然灾害防御水平明显提升，平安新会、法治新会建设纵深推进，社会大局保持和谐稳定。</w:t>
      </w:r>
      <w:bookmarkStart w:id="45" w:name="_Toc32656"/>
      <w:bookmarkStart w:id="46" w:name="_Toc1322"/>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widowControl/>
        <w:pBdr>
          <w:top w:val="none" w:color="auto" w:sz="0" w:space="0"/>
          <w:left w:val="none" w:color="auto" w:sz="0" w:space="0"/>
          <w:bottom w:val="none" w:color="auto" w:sz="0" w:space="0"/>
          <w:right w:val="none" w:color="auto" w:sz="0" w:space="0"/>
        </w:pBdr>
        <w:adjustRightInd/>
        <w:spacing w:line="560" w:lineRule="exact"/>
        <w:ind w:firstLine="0"/>
        <w:jc w:val="center"/>
        <w:rPr>
          <w:rFonts w:ascii="Times New Roman" w:hAnsi="黑体" w:eastAsia="黑体" w:cs="Times New Roman"/>
          <w:szCs w:val="28"/>
        </w:rPr>
      </w:pPr>
    </w:p>
    <w:p>
      <w:pPr>
        <w:widowControl/>
        <w:pBdr>
          <w:top w:val="none" w:color="auto" w:sz="0" w:space="0"/>
          <w:left w:val="none" w:color="auto" w:sz="0" w:space="0"/>
          <w:bottom w:val="none" w:color="auto" w:sz="0" w:space="0"/>
          <w:right w:val="none" w:color="auto" w:sz="0" w:space="0"/>
        </w:pBdr>
        <w:adjustRightInd/>
        <w:spacing w:line="560" w:lineRule="exact"/>
        <w:ind w:firstLine="0"/>
        <w:jc w:val="center"/>
        <w:rPr>
          <w:rFonts w:ascii="Times New Roman" w:hAnsi="Times New Roman" w:eastAsia="黑体" w:cs="Times New Roman"/>
          <w:szCs w:val="28"/>
        </w:rPr>
      </w:pPr>
      <w:r>
        <w:rPr>
          <w:rFonts w:ascii="Times New Roman" w:hAnsi="黑体" w:eastAsia="黑体" w:cs="Times New Roman"/>
          <w:szCs w:val="28"/>
        </w:rPr>
        <w:t>专栏：新会</w:t>
      </w:r>
      <w:r>
        <w:rPr>
          <w:rFonts w:ascii="Times New Roman" w:hAnsi="Times New Roman" w:eastAsia="黑体" w:cs="Times New Roman"/>
          <w:szCs w:val="28"/>
        </w:rPr>
        <w:t>“</w:t>
      </w:r>
      <w:r>
        <w:rPr>
          <w:rFonts w:ascii="Times New Roman" w:hAnsi="黑体" w:eastAsia="黑体" w:cs="Times New Roman"/>
          <w:szCs w:val="28"/>
        </w:rPr>
        <w:t>十四五</w:t>
      </w:r>
      <w:r>
        <w:rPr>
          <w:rFonts w:ascii="Times New Roman" w:hAnsi="Times New Roman" w:eastAsia="黑体" w:cs="Times New Roman"/>
          <w:szCs w:val="28"/>
        </w:rPr>
        <w:t>”</w:t>
      </w:r>
      <w:r>
        <w:rPr>
          <w:rFonts w:ascii="Times New Roman" w:hAnsi="黑体" w:eastAsia="黑体" w:cs="Times New Roman"/>
          <w:szCs w:val="28"/>
        </w:rPr>
        <w:t>经济社会发展主要指标表</w:t>
      </w:r>
    </w:p>
    <w:tbl>
      <w:tblPr>
        <w:tblStyle w:val="17"/>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477"/>
        <w:gridCol w:w="1266"/>
        <w:gridCol w:w="1064"/>
        <w:gridCol w:w="131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序号</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指标名称</w:t>
            </w:r>
          </w:p>
        </w:tc>
        <w:tc>
          <w:tcPr>
            <w:tcW w:w="1266"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2020</w:t>
            </w:r>
            <w:r>
              <w:rPr>
                <w:rFonts w:ascii="Times New Roman" w:hAnsi="仿宋_GB2312" w:eastAsia="仿宋_GB2312" w:cs="Times New Roman"/>
                <w:b/>
                <w:bCs/>
                <w:kern w:val="0"/>
                <w:sz w:val="21"/>
                <w:szCs w:val="21"/>
              </w:rPr>
              <w:t>年</w:t>
            </w:r>
          </w:p>
        </w:tc>
        <w:tc>
          <w:tcPr>
            <w:tcW w:w="1064"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2025</w:t>
            </w:r>
            <w:r>
              <w:rPr>
                <w:rFonts w:ascii="Times New Roman" w:hAnsi="仿宋_GB2312" w:eastAsia="仿宋_GB2312" w:cs="Times New Roman"/>
                <w:b/>
                <w:bCs/>
                <w:kern w:val="0"/>
                <w:sz w:val="21"/>
                <w:szCs w:val="21"/>
              </w:rPr>
              <w:t>年</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年均增长</w:t>
            </w:r>
            <w:r>
              <w:rPr>
                <w:rFonts w:ascii="Times New Roman" w:hAnsi="Times New Roman" w:eastAsia="仿宋_GB2312" w:cs="Times New Roman"/>
                <w:b/>
                <w:bCs/>
                <w:kern w:val="0"/>
                <w:sz w:val="21"/>
                <w:szCs w:val="21"/>
              </w:rPr>
              <w:t>[</w:t>
            </w:r>
            <w:r>
              <w:rPr>
                <w:rFonts w:ascii="Times New Roman" w:hAnsi="仿宋_GB2312" w:eastAsia="仿宋_GB2312" w:cs="Times New Roman"/>
                <w:b/>
                <w:bCs/>
                <w:kern w:val="0"/>
                <w:sz w:val="21"/>
                <w:szCs w:val="21"/>
              </w:rPr>
              <w:t>累计</w:t>
            </w:r>
            <w:r>
              <w:rPr>
                <w:rFonts w:ascii="Times New Roman" w:hAnsi="Times New Roman" w:eastAsia="仿宋_GB2312" w:cs="Times New Roman"/>
                <w:b/>
                <w:bCs/>
                <w:kern w:val="0"/>
                <w:sz w:val="21"/>
                <w:szCs w:val="21"/>
              </w:rPr>
              <w:t>]</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725" w:type="dxa"/>
            <w:gridSpan w:val="6"/>
            <w:vAlign w:val="center"/>
          </w:tcPr>
          <w:p>
            <w:pPr>
              <w:widowControl/>
              <w:pBdr>
                <w:top w:val="none" w:color="auto" w:sz="0" w:space="0"/>
                <w:left w:val="none" w:color="auto" w:sz="0" w:space="0"/>
                <w:bottom w:val="none" w:color="auto" w:sz="0" w:space="0"/>
                <w:right w:val="none" w:color="auto" w:sz="0" w:space="0"/>
              </w:pBdr>
              <w:snapToGrid w:val="0"/>
              <w:ind w:firstLine="0"/>
              <w:jc w:val="both"/>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地区生产总值</w:t>
            </w:r>
            <w:r>
              <w:rPr>
                <w:rFonts w:hint="eastAsia" w:ascii="Times New Roman" w:hAnsi="仿宋_GB2312" w:eastAsia="仿宋_GB2312" w:cs="Times New Roman"/>
                <w:kern w:val="0"/>
                <w:sz w:val="21"/>
                <w:szCs w:val="21"/>
              </w:rPr>
              <w:t>增长</w:t>
            </w:r>
            <w:r>
              <w:rPr>
                <w:rFonts w:ascii="Times New Roman" w:hAnsi="仿宋_GB2312" w:eastAsia="仿宋_GB2312" w:cs="Times New Roman"/>
                <w:kern w:val="0"/>
                <w:sz w:val="21"/>
                <w:szCs w:val="21"/>
              </w:rPr>
              <w:t>（</w:t>
            </w:r>
            <w:r>
              <w:rPr>
                <w:rFonts w:hint="eastAsia" w:ascii="Times New Roman" w:hAnsi="仿宋_GB2312"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312"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6.5</w:t>
            </w:r>
            <w:r>
              <w:rPr>
                <w:rFonts w:ascii="Times New Roman" w:hAnsi="仿宋_GB2312" w:eastAsia="仿宋_GB2312" w:cs="Times New Roman"/>
                <w:kern w:val="0"/>
                <w:sz w:val="21"/>
                <w:szCs w:val="21"/>
              </w:rPr>
              <w:t>左右</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全员劳动生产率</w:t>
            </w:r>
            <w:r>
              <w:rPr>
                <w:rFonts w:hint="eastAsia" w:ascii="Times New Roman" w:hAnsi="仿宋_GB2312" w:eastAsia="仿宋_GB2312" w:cs="Times New Roman"/>
                <w:kern w:val="0"/>
                <w:sz w:val="21"/>
                <w:szCs w:val="21"/>
              </w:rPr>
              <w:t>增长</w:t>
            </w:r>
            <w:r>
              <w:rPr>
                <w:rFonts w:ascii="Times New Roman" w:hAnsi="仿宋_GB2312" w:eastAsia="仿宋_GB2312" w:cs="Times New Roman"/>
                <w:kern w:val="0"/>
                <w:sz w:val="21"/>
                <w:szCs w:val="21"/>
              </w:rPr>
              <w:t>（</w:t>
            </w:r>
            <w:r>
              <w:rPr>
                <w:rFonts w:hint="eastAsia" w:ascii="Times New Roman" w:hAnsi="仿宋_GB2312"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4.7左右</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3</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常住人口城镇化率（</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66.</w:t>
            </w:r>
            <w:r>
              <w:rPr>
                <w:rFonts w:hint="eastAsia" w:ascii="Times New Roman" w:hAnsi="Times New Roman" w:eastAsia="仿宋_GB2312" w:cs="Times New Roman"/>
                <w:kern w:val="0"/>
                <w:sz w:val="21"/>
                <w:szCs w:val="21"/>
                <w:lang w:val="en-US" w:eastAsia="zh-CN"/>
              </w:rPr>
              <w:t>4</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68</w:t>
            </w:r>
          </w:p>
        </w:tc>
        <w:tc>
          <w:tcPr>
            <w:tcW w:w="1312"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8725" w:type="dxa"/>
            <w:gridSpan w:val="6"/>
            <w:vAlign w:val="center"/>
          </w:tcPr>
          <w:p>
            <w:pPr>
              <w:widowControl/>
              <w:pBdr>
                <w:top w:val="none" w:color="auto" w:sz="0" w:space="0"/>
                <w:left w:val="none" w:color="auto" w:sz="0" w:space="0"/>
                <w:bottom w:val="none" w:color="auto" w:sz="0" w:space="0"/>
                <w:right w:val="none" w:color="auto" w:sz="0" w:space="0"/>
              </w:pBdr>
              <w:snapToGrid w:val="0"/>
              <w:ind w:firstLine="0"/>
              <w:jc w:val="both"/>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二、创新驱动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4</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仿宋_GB2312" w:eastAsia="仿宋_GB2312" w:cs="Times New Roman"/>
                <w:kern w:val="0"/>
                <w:sz w:val="21"/>
                <w:szCs w:val="21"/>
              </w:rPr>
              <w:t>全社会</w:t>
            </w:r>
            <w:r>
              <w:rPr>
                <w:rFonts w:ascii="Times New Roman" w:hAnsi="仿宋_GB2312" w:eastAsia="仿宋_GB2312" w:cs="Times New Roman"/>
                <w:kern w:val="0"/>
                <w:sz w:val="21"/>
                <w:szCs w:val="21"/>
              </w:rPr>
              <w:t>研发经费投入增长（</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10</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5</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每万人口</w:t>
            </w:r>
            <w:r>
              <w:rPr>
                <w:rFonts w:hint="eastAsia" w:ascii="Times New Roman" w:hAnsi="仿宋_GB2312" w:eastAsia="仿宋_GB2312" w:cs="Times New Roman"/>
                <w:kern w:val="0"/>
                <w:sz w:val="21"/>
                <w:szCs w:val="21"/>
              </w:rPr>
              <w:t>高价值</w:t>
            </w:r>
            <w:r>
              <w:rPr>
                <w:rFonts w:ascii="Times New Roman" w:hAnsi="仿宋_GB2312" w:eastAsia="仿宋_GB2312" w:cs="Times New Roman"/>
                <w:kern w:val="0"/>
                <w:sz w:val="21"/>
                <w:szCs w:val="21"/>
              </w:rPr>
              <w:t>发明专利</w:t>
            </w:r>
            <w:r>
              <w:rPr>
                <w:rFonts w:hint="eastAsia" w:ascii="Times New Roman" w:hAnsi="仿宋_GB2312" w:eastAsia="仿宋_GB2312" w:cs="Times New Roman"/>
                <w:kern w:val="0"/>
                <w:sz w:val="21"/>
                <w:szCs w:val="21"/>
              </w:rPr>
              <w:t>拥有</w:t>
            </w:r>
            <w:r>
              <w:rPr>
                <w:rFonts w:ascii="Times New Roman" w:hAnsi="仿宋_GB2312" w:eastAsia="仿宋_GB2312" w:cs="Times New Roman"/>
                <w:kern w:val="0"/>
                <w:sz w:val="21"/>
                <w:szCs w:val="21"/>
              </w:rPr>
              <w:t>量（件）</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0.45</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1.02</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[0.57]</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6</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仿宋_GB2312" w:eastAsia="仿宋_GB2312" w:cs="Times New Roman"/>
                <w:kern w:val="0"/>
                <w:sz w:val="21"/>
                <w:szCs w:val="21"/>
              </w:rPr>
              <w:t>高新技术企业数量（家）</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425</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600</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8725" w:type="dxa"/>
            <w:gridSpan w:val="6"/>
            <w:tcBorders>
              <w:bottom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both"/>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三、民生福祉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68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7</w:t>
            </w:r>
          </w:p>
        </w:tc>
        <w:tc>
          <w:tcPr>
            <w:tcW w:w="3477"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居民人均可支配收入增长（</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6.5</w:t>
            </w:r>
            <w:r>
              <w:rPr>
                <w:rFonts w:ascii="Times New Roman" w:hAnsi="仿宋_GB2312" w:eastAsia="仿宋_GB2312" w:cs="Times New Roman"/>
                <w:kern w:val="0"/>
                <w:sz w:val="21"/>
                <w:szCs w:val="21"/>
              </w:rPr>
              <w:t>左右</w:t>
            </w:r>
          </w:p>
        </w:tc>
        <w:tc>
          <w:tcPr>
            <w:tcW w:w="91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68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8</w:t>
            </w:r>
          </w:p>
        </w:tc>
        <w:tc>
          <w:tcPr>
            <w:tcW w:w="3477"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城镇登记失业率（</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1.92</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控制在</w:t>
            </w:r>
            <w:r>
              <w:rPr>
                <w:rFonts w:ascii="Times New Roman" w:hAnsi="Times New Roman" w:eastAsia="仿宋_GB2312" w:cs="Times New Roman"/>
                <w:kern w:val="0"/>
                <w:sz w:val="21"/>
                <w:szCs w:val="21"/>
              </w:rPr>
              <w:t>3.0</w:t>
            </w:r>
            <w:r>
              <w:rPr>
                <w:rFonts w:ascii="Times New Roman" w:hAnsi="仿宋_GB2312" w:eastAsia="仿宋_GB2312" w:cs="Times New Roman"/>
                <w:kern w:val="0"/>
                <w:sz w:val="21"/>
                <w:szCs w:val="21"/>
              </w:rPr>
              <w:t>以内</w:t>
            </w:r>
          </w:p>
        </w:tc>
        <w:tc>
          <w:tcPr>
            <w:tcW w:w="91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68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9</w:t>
            </w:r>
          </w:p>
        </w:tc>
        <w:tc>
          <w:tcPr>
            <w:tcW w:w="3477"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劳动年龄人口平均受教育年限（年）</w:t>
            </w:r>
          </w:p>
        </w:tc>
        <w:tc>
          <w:tcPr>
            <w:tcW w:w="1266"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12.2</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1</w:t>
            </w:r>
            <w:r>
              <w:rPr>
                <w:rFonts w:hint="eastAsia" w:ascii="Times New Roman" w:hAnsi="Times New Roman" w:eastAsia="仿宋_GB2312" w:cs="Times New Roman"/>
                <w:bCs/>
                <w:kern w:val="0"/>
                <w:sz w:val="21"/>
                <w:szCs w:val="21"/>
              </w:rPr>
              <w:t>2.8</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[0.</w:t>
            </w:r>
            <w:r>
              <w:rPr>
                <w:rFonts w:hint="eastAsia" w:ascii="Times New Roman" w:hAnsi="Times New Roman" w:eastAsia="仿宋_GB2312" w:cs="Times New Roman"/>
                <w:bCs/>
                <w:kern w:val="0"/>
                <w:sz w:val="21"/>
                <w:szCs w:val="21"/>
              </w:rPr>
              <w:t>6</w:t>
            </w:r>
            <w:r>
              <w:rPr>
                <w:rFonts w:ascii="Times New Roman" w:hAnsi="Times New Roman" w:eastAsia="仿宋_GB2312" w:cs="Times New Roman"/>
                <w:bCs/>
                <w:kern w:val="0"/>
                <w:sz w:val="21"/>
                <w:szCs w:val="21"/>
              </w:rPr>
              <w:t>]</w:t>
            </w:r>
          </w:p>
        </w:tc>
        <w:tc>
          <w:tcPr>
            <w:tcW w:w="91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仿宋_GB2312" w:eastAsia="仿宋_GB2312" w:cs="Times New Roman"/>
                <w:kern w:val="0"/>
                <w:sz w:val="21"/>
                <w:szCs w:val="21"/>
              </w:rPr>
              <w:t>约束</w:t>
            </w:r>
            <w:r>
              <w:rPr>
                <w:rFonts w:ascii="Times New Roman" w:hAnsi="仿宋_GB2312" w:eastAsia="仿宋_GB2312" w:cs="Times New Roman"/>
                <w:kern w:val="0"/>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68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10</w:t>
            </w:r>
          </w:p>
        </w:tc>
        <w:tc>
          <w:tcPr>
            <w:tcW w:w="3477"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每千人</w:t>
            </w:r>
            <w:r>
              <w:rPr>
                <w:rFonts w:hint="eastAsia" w:ascii="Times New Roman" w:hAnsi="仿宋_GB2312" w:eastAsia="仿宋_GB2312" w:cs="Times New Roman"/>
                <w:kern w:val="0"/>
                <w:sz w:val="21"/>
                <w:szCs w:val="21"/>
              </w:rPr>
              <w:t>口拥有</w:t>
            </w:r>
            <w:r>
              <w:rPr>
                <w:rFonts w:ascii="Times New Roman" w:hAnsi="仿宋_GB2312" w:eastAsia="仿宋_GB2312" w:cs="Times New Roman"/>
                <w:kern w:val="0"/>
                <w:sz w:val="21"/>
                <w:szCs w:val="21"/>
              </w:rPr>
              <w:t>执业</w:t>
            </w:r>
            <w:r>
              <w:rPr>
                <w:rFonts w:hint="eastAsia" w:ascii="Times New Roman" w:hAnsi="仿宋_GB2312" w:eastAsia="仿宋_GB2312" w:cs="Times New Roman"/>
                <w:kern w:val="0"/>
                <w:sz w:val="21"/>
                <w:szCs w:val="21"/>
              </w:rPr>
              <w:t>（助理）</w:t>
            </w:r>
            <w:r>
              <w:rPr>
                <w:rFonts w:ascii="Times New Roman" w:hAnsi="仿宋_GB2312" w:eastAsia="仿宋_GB2312" w:cs="Times New Roman"/>
                <w:kern w:val="0"/>
                <w:sz w:val="21"/>
                <w:szCs w:val="21"/>
              </w:rPr>
              <w:t>医师数（人）</w:t>
            </w:r>
          </w:p>
        </w:tc>
        <w:tc>
          <w:tcPr>
            <w:tcW w:w="1266"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2.4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2.7</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[0.3]</w:t>
            </w:r>
          </w:p>
        </w:tc>
        <w:tc>
          <w:tcPr>
            <w:tcW w:w="91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仿宋_GB2312" w:eastAsia="仿宋_GB2312" w:cs="Times New Roman"/>
                <w:kern w:val="0"/>
                <w:sz w:val="21"/>
                <w:szCs w:val="21"/>
              </w:rPr>
              <w:t>预期</w:t>
            </w:r>
            <w:r>
              <w:rPr>
                <w:rFonts w:ascii="Times New Roman" w:hAnsi="仿宋_GB2312" w:eastAsia="仿宋_GB2312" w:cs="Times New Roman"/>
                <w:kern w:val="0"/>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68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11</w:t>
            </w:r>
          </w:p>
        </w:tc>
        <w:tc>
          <w:tcPr>
            <w:tcW w:w="3477"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基本养老保险参保率（</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90</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95</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[5]</w:t>
            </w:r>
          </w:p>
        </w:tc>
        <w:tc>
          <w:tcPr>
            <w:tcW w:w="91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68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12</w:t>
            </w:r>
          </w:p>
        </w:tc>
        <w:tc>
          <w:tcPr>
            <w:tcW w:w="3477"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仿宋_GB2312" w:eastAsia="仿宋_GB2312" w:cs="Times New Roman"/>
                <w:kern w:val="0"/>
                <w:sz w:val="21"/>
                <w:szCs w:val="21"/>
              </w:rPr>
              <w:t>每千人口拥有3岁以下婴幼儿托位数（位）</w:t>
            </w:r>
          </w:p>
        </w:tc>
        <w:tc>
          <w:tcPr>
            <w:tcW w:w="1266"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2.14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3.5</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[1.36]</w:t>
            </w:r>
          </w:p>
        </w:tc>
        <w:tc>
          <w:tcPr>
            <w:tcW w:w="91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68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13</w:t>
            </w:r>
          </w:p>
        </w:tc>
        <w:tc>
          <w:tcPr>
            <w:tcW w:w="3477"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人均预期寿命（岁）</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80.59</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81</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[0.41]</w:t>
            </w:r>
          </w:p>
        </w:tc>
        <w:tc>
          <w:tcPr>
            <w:tcW w:w="918" w:type="dxa"/>
            <w:tcBorders>
              <w:top w:val="single" w:color="auto" w:sz="4" w:space="0"/>
              <w:left w:val="single" w:color="auto" w:sz="4" w:space="0"/>
              <w:bottom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仿宋_GB2312" w:eastAsia="仿宋_GB2312" w:cs="Times New Roman"/>
                <w:kern w:val="0"/>
                <w:sz w:val="21"/>
                <w:szCs w:val="21"/>
              </w:rPr>
              <w:t>预期</w:t>
            </w:r>
            <w:r>
              <w:rPr>
                <w:rFonts w:ascii="Times New Roman" w:hAnsi="仿宋_GB2312" w:eastAsia="仿宋_GB2312" w:cs="Times New Roman"/>
                <w:kern w:val="0"/>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8725" w:type="dxa"/>
            <w:gridSpan w:val="6"/>
            <w:vAlign w:val="center"/>
          </w:tcPr>
          <w:p>
            <w:pPr>
              <w:widowControl/>
              <w:pBdr>
                <w:top w:val="none" w:color="auto" w:sz="0" w:space="0"/>
                <w:left w:val="none" w:color="auto" w:sz="0" w:space="0"/>
                <w:bottom w:val="none" w:color="auto" w:sz="0" w:space="0"/>
                <w:right w:val="none" w:color="auto" w:sz="0" w:space="0"/>
              </w:pBdr>
              <w:snapToGrid w:val="0"/>
              <w:ind w:firstLine="0"/>
              <w:jc w:val="both"/>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四、绿色转型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14</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单位</w:t>
            </w:r>
            <w:r>
              <w:rPr>
                <w:rFonts w:hint="eastAsia" w:ascii="Times New Roman" w:hAnsi="Times New Roman" w:eastAsia="仿宋_GB2312" w:cs="Times New Roman"/>
                <w:kern w:val="0"/>
                <w:sz w:val="21"/>
                <w:szCs w:val="21"/>
              </w:rPr>
              <w:t>地区生产总值</w:t>
            </w:r>
            <w:r>
              <w:rPr>
                <w:rFonts w:ascii="Times New Roman" w:hAnsi="仿宋_GB2312" w:eastAsia="仿宋_GB2312" w:cs="Times New Roman"/>
                <w:kern w:val="0"/>
                <w:sz w:val="21"/>
                <w:szCs w:val="21"/>
              </w:rPr>
              <w:t>能源消耗降</w:t>
            </w:r>
            <w:r>
              <w:rPr>
                <w:rFonts w:hint="eastAsia" w:ascii="Times New Roman" w:hAnsi="仿宋_GB2312" w:eastAsia="仿宋_GB2312" w:cs="Times New Roman"/>
                <w:kern w:val="0"/>
                <w:sz w:val="21"/>
                <w:szCs w:val="21"/>
              </w:rPr>
              <w:t>低</w:t>
            </w:r>
            <w:r>
              <w:rPr>
                <w:rFonts w:ascii="Times New Roman" w:hAnsi="仿宋_GB2312" w:eastAsia="仿宋_GB2312" w:cs="Times New Roman"/>
                <w:kern w:val="0"/>
                <w:sz w:val="21"/>
                <w:szCs w:val="21"/>
              </w:rPr>
              <w:t>（</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2376" w:type="dxa"/>
            <w:gridSpan w:val="2"/>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完成上级下达任务</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15</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单位</w:t>
            </w:r>
            <w:r>
              <w:rPr>
                <w:rFonts w:hint="eastAsia" w:ascii="Times New Roman" w:hAnsi="Times New Roman" w:eastAsia="仿宋_GB2312" w:cs="Times New Roman"/>
                <w:kern w:val="0"/>
                <w:sz w:val="21"/>
                <w:szCs w:val="21"/>
              </w:rPr>
              <w:t>地区生产总值</w:t>
            </w:r>
            <w:r>
              <w:rPr>
                <w:rFonts w:ascii="Times New Roman" w:hAnsi="仿宋_GB2312" w:eastAsia="仿宋_GB2312" w:cs="Times New Roman"/>
                <w:kern w:val="0"/>
                <w:sz w:val="21"/>
                <w:szCs w:val="21"/>
              </w:rPr>
              <w:t>二氧化碳排放降</w:t>
            </w:r>
            <w:r>
              <w:rPr>
                <w:rFonts w:hint="eastAsia" w:ascii="Times New Roman" w:hAnsi="仿宋_GB2312" w:eastAsia="仿宋_GB2312" w:cs="Times New Roman"/>
                <w:kern w:val="0"/>
                <w:sz w:val="21"/>
                <w:szCs w:val="21"/>
              </w:rPr>
              <w:t>低</w:t>
            </w:r>
            <w:r>
              <w:rPr>
                <w:rFonts w:ascii="Times New Roman" w:hAnsi="仿宋_GB2312" w:eastAsia="仿宋_GB2312" w:cs="Times New Roman"/>
                <w:kern w:val="0"/>
                <w:sz w:val="21"/>
                <w:szCs w:val="21"/>
              </w:rPr>
              <w:t>（</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2376" w:type="dxa"/>
            <w:gridSpan w:val="2"/>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完成上级下达任务</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16</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城市空气质量优良天数比率（</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89.9</w:t>
            </w:r>
          </w:p>
        </w:tc>
        <w:tc>
          <w:tcPr>
            <w:tcW w:w="2376" w:type="dxa"/>
            <w:gridSpan w:val="2"/>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完成上级下达任务</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17</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地表水达到或好于Ⅲ类水体占比列（</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
                <w:kern w:val="0"/>
                <w:sz w:val="21"/>
                <w:szCs w:val="21"/>
              </w:rPr>
            </w:pPr>
            <w:r>
              <w:rPr>
                <w:rFonts w:ascii="Times New Roman" w:hAnsi="Times New Roman" w:eastAsia="仿宋_GB2312" w:cs="Times New Roman"/>
                <w:kern w:val="0"/>
                <w:sz w:val="21"/>
                <w:szCs w:val="21"/>
              </w:rPr>
              <w:t>100</w:t>
            </w:r>
          </w:p>
        </w:tc>
        <w:tc>
          <w:tcPr>
            <w:tcW w:w="2376" w:type="dxa"/>
            <w:gridSpan w:val="2"/>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完成上级下达任务</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18</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森林覆盖率（</w:t>
            </w:r>
            <w:r>
              <w:rPr>
                <w:rFonts w:ascii="Times New Roman" w:hAnsi="Times New Roman" w:eastAsia="仿宋_GB2312" w:cs="Times New Roman"/>
                <w:kern w:val="0"/>
                <w:sz w:val="21"/>
                <w:szCs w:val="21"/>
              </w:rPr>
              <w:t>%</w:t>
            </w:r>
            <w:r>
              <w:rPr>
                <w:rFonts w:ascii="Times New Roman" w:hAnsi="仿宋_GB2312" w:eastAsia="仿宋_GB2312" w:cs="Times New Roman"/>
                <w:kern w:val="0"/>
                <w:sz w:val="21"/>
                <w:szCs w:val="21"/>
              </w:rPr>
              <w:t>）</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29.89</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29.39</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[-0.5]</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8725" w:type="dxa"/>
            <w:gridSpan w:val="6"/>
            <w:vAlign w:val="center"/>
          </w:tcPr>
          <w:p>
            <w:pPr>
              <w:widowControl/>
              <w:pBdr>
                <w:top w:val="none" w:color="auto" w:sz="0" w:space="0"/>
                <w:left w:val="none" w:color="auto" w:sz="0" w:space="0"/>
                <w:bottom w:val="none" w:color="auto" w:sz="0" w:space="0"/>
                <w:right w:val="none" w:color="auto" w:sz="0" w:space="0"/>
              </w:pBdr>
              <w:snapToGrid w:val="0"/>
              <w:ind w:firstLine="0"/>
              <w:jc w:val="both"/>
              <w:rPr>
                <w:rFonts w:ascii="Times New Roman" w:hAnsi="Times New Roman" w:eastAsia="仿宋_GB2312" w:cs="Times New Roman"/>
                <w:b/>
                <w:bCs/>
                <w:kern w:val="0"/>
                <w:sz w:val="21"/>
                <w:szCs w:val="21"/>
              </w:rPr>
            </w:pPr>
            <w:r>
              <w:rPr>
                <w:rFonts w:ascii="Times New Roman" w:hAnsi="仿宋_GB2312" w:eastAsia="仿宋_GB2312" w:cs="Times New Roman"/>
                <w:b/>
                <w:bCs/>
                <w:kern w:val="0"/>
                <w:sz w:val="21"/>
                <w:szCs w:val="21"/>
              </w:rPr>
              <w:t>五、安全保障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19</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粮食综合生产能力（万吨）</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14.12</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13.7</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bCs/>
                <w:kern w:val="0"/>
                <w:sz w:val="21"/>
                <w:szCs w:val="21"/>
              </w:rPr>
            </w:pPr>
            <w:r>
              <w:rPr>
                <w:rFonts w:ascii="Times New Roman" w:hAnsi="Times New Roman" w:eastAsia="仿宋_GB2312" w:cs="Times New Roman"/>
                <w:bCs/>
                <w:kern w:val="0"/>
                <w:sz w:val="21"/>
                <w:szCs w:val="21"/>
              </w:rPr>
              <w:t>-</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68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20</w:t>
            </w:r>
          </w:p>
        </w:tc>
        <w:tc>
          <w:tcPr>
            <w:tcW w:w="3477"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仿宋_GB2312" w:eastAsia="仿宋_GB2312" w:cs="Times New Roman"/>
                <w:kern w:val="0"/>
                <w:sz w:val="21"/>
                <w:szCs w:val="21"/>
              </w:rPr>
              <w:t>能源综合生产能力（万吨标准煤）</w:t>
            </w:r>
          </w:p>
        </w:tc>
        <w:tc>
          <w:tcPr>
            <w:tcW w:w="1266"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0.33</w:t>
            </w:r>
          </w:p>
        </w:tc>
        <w:tc>
          <w:tcPr>
            <w:tcW w:w="1064" w:type="dxa"/>
            <w:vAlign w:val="center"/>
          </w:tcPr>
          <w:p>
            <w:pPr>
              <w:keepNext/>
              <w:keepLines/>
              <w:widowControl/>
              <w:pBdr>
                <w:top w:val="none" w:color="auto" w:sz="0" w:space="0"/>
                <w:left w:val="none" w:color="auto" w:sz="0" w:space="0"/>
                <w:bottom w:val="none" w:color="auto" w:sz="0" w:space="0"/>
                <w:right w:val="none" w:color="auto" w:sz="0" w:space="0"/>
              </w:pBdr>
              <w:snapToGrid w:val="0"/>
              <w:ind w:firstLine="0"/>
              <w:jc w:val="center"/>
              <w:outlineLvl w:val="2"/>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0.38</w:t>
            </w:r>
          </w:p>
        </w:tc>
        <w:tc>
          <w:tcPr>
            <w:tcW w:w="1312"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918" w:type="dxa"/>
            <w:vAlign w:val="center"/>
          </w:tcPr>
          <w:p>
            <w:pPr>
              <w:widowControl/>
              <w:pBdr>
                <w:top w:val="none" w:color="auto" w:sz="0" w:space="0"/>
                <w:left w:val="none" w:color="auto" w:sz="0" w:space="0"/>
                <w:bottom w:val="none" w:color="auto" w:sz="0" w:space="0"/>
                <w:right w:val="none" w:color="auto" w:sz="0" w:space="0"/>
              </w:pBdr>
              <w:snapToGrid w:val="0"/>
              <w:ind w:firstLine="0"/>
              <w:jc w:val="center"/>
              <w:rPr>
                <w:rFonts w:ascii="Times New Roman" w:hAnsi="Times New Roman" w:eastAsia="仿宋_GB2312" w:cs="Times New Roman"/>
                <w:kern w:val="0"/>
                <w:sz w:val="21"/>
                <w:szCs w:val="21"/>
              </w:rPr>
            </w:pPr>
            <w:r>
              <w:rPr>
                <w:rFonts w:hint="eastAsia" w:ascii="Times New Roman" w:hAnsi="仿宋_GB2312" w:eastAsia="仿宋_GB2312" w:cs="Times New Roman"/>
                <w:kern w:val="0"/>
                <w:sz w:val="21"/>
                <w:szCs w:val="21"/>
              </w:rPr>
              <w:t>约束</w:t>
            </w:r>
            <w:r>
              <w:rPr>
                <w:rFonts w:ascii="Times New Roman" w:hAnsi="仿宋_GB2312" w:eastAsia="仿宋_GB2312" w:cs="Times New Roman"/>
                <w:kern w:val="0"/>
                <w:sz w:val="21"/>
                <w:szCs w:val="21"/>
              </w:rPr>
              <w:t>性</w:t>
            </w:r>
          </w:p>
        </w:tc>
      </w:tr>
    </w:tbl>
    <w:p>
      <w:pPr>
        <w:pStyle w:val="2"/>
        <w:keepNext w:val="0"/>
        <w:keepLines w:val="0"/>
        <w:widowControl/>
        <w:adjustRightInd/>
        <w:spacing w:beforeLines="50" w:afterLines="50" w:line="560" w:lineRule="exact"/>
        <w:rPr>
          <w:rFonts w:ascii="Times New Roman" w:hAnsi="Times New Roman"/>
          <w:b w:val="0"/>
          <w:bCs/>
          <w:kern w:val="36"/>
          <w:szCs w:val="32"/>
          <w:shd w:val="clear" w:color="auto" w:fill="FFFFFF"/>
        </w:rPr>
      </w:pPr>
      <w:bookmarkStart w:id="47" w:name="_Toc61946316"/>
      <w:bookmarkStart w:id="48" w:name="_Toc17767"/>
      <w:bookmarkStart w:id="49" w:name="_Toc60738014"/>
      <w:bookmarkStart w:id="50" w:name="_Toc19329"/>
      <w:bookmarkStart w:id="51" w:name="_Toc12627"/>
      <w:r>
        <w:rPr>
          <w:rFonts w:ascii="Times New Roman" w:hAnsi="黑体"/>
          <w:b w:val="0"/>
          <w:bCs/>
          <w:kern w:val="36"/>
          <w:szCs w:val="32"/>
          <w:shd w:val="clear" w:color="auto" w:fill="FFFFFF"/>
        </w:rPr>
        <w:t>第三章</w:t>
      </w:r>
      <w:r>
        <w:rPr>
          <w:rFonts w:hint="eastAsia" w:ascii="Times New Roman" w:hAnsi="黑体"/>
          <w:b w:val="0"/>
          <w:bCs/>
          <w:kern w:val="36"/>
          <w:szCs w:val="32"/>
          <w:shd w:val="clear" w:color="auto" w:fill="FFFFFF"/>
          <w:lang w:val="en-US" w:eastAsia="zh-CN"/>
        </w:rPr>
        <w:t xml:space="preserve"> </w:t>
      </w:r>
      <w:r>
        <w:rPr>
          <w:rFonts w:ascii="Times New Roman"/>
          <w:b w:val="0"/>
          <w:szCs w:val="32"/>
        </w:rPr>
        <w:t>创新驱动发展</w:t>
      </w:r>
      <w:r>
        <w:rPr>
          <w:rFonts w:hint="eastAsia" w:ascii="Times New Roman"/>
          <w:b w:val="0"/>
          <w:szCs w:val="32"/>
          <w:lang w:val="en-US" w:eastAsia="zh-CN"/>
        </w:rPr>
        <w:t xml:space="preserve"> </w:t>
      </w:r>
      <w:r>
        <w:rPr>
          <w:rFonts w:ascii="Times New Roman" w:hAnsi="黑体"/>
          <w:b w:val="0"/>
          <w:bCs/>
          <w:kern w:val="36"/>
          <w:szCs w:val="32"/>
          <w:shd w:val="clear" w:color="auto" w:fill="FFFFFF"/>
        </w:rPr>
        <w:t>加快打造全链条创新集聚区</w:t>
      </w:r>
      <w:bookmarkEnd w:id="47"/>
      <w:bookmarkEnd w:id="48"/>
      <w:bookmarkEnd w:id="49"/>
      <w:bookmarkEnd w:id="50"/>
      <w:bookmarkEnd w:id="51"/>
    </w:p>
    <w:p>
      <w:pPr>
        <w:pStyle w:val="8"/>
        <w:spacing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深度参与粤港澳大湾区国际科技创新中心建设，提升创新资源承载能力、创新要素支撑能力和创新载体发展水平，以科技创新推动经济社会高质量发展，打造湾区核心城市创新资源溢出承载地和成果转化集聚地。</w:t>
      </w:r>
    </w:p>
    <w:p>
      <w:pPr>
        <w:pStyle w:val="3"/>
        <w:jc w:val="center"/>
        <w:rPr>
          <w:rFonts w:ascii="Times New Roman" w:hAnsi="Times New Roman" w:eastAsia="楷体_GB2312"/>
          <w:b w:val="0"/>
        </w:rPr>
      </w:pPr>
      <w:bookmarkStart w:id="52" w:name="_Toc61946317"/>
      <w:bookmarkStart w:id="53" w:name="_Toc8747"/>
      <w:bookmarkStart w:id="54" w:name="_Toc18137"/>
      <w:bookmarkStart w:id="55" w:name="_Toc60738015"/>
      <w:bookmarkStart w:id="56" w:name="_Toc2024"/>
      <w:r>
        <w:rPr>
          <w:rFonts w:ascii="Times New Roman" w:hAnsi="Times New Roman" w:eastAsia="楷体_GB2312"/>
          <w:b w:val="0"/>
        </w:rPr>
        <w:t>第一节 加快完善创新生态体系</w:t>
      </w:r>
      <w:bookmarkEnd w:id="52"/>
      <w:bookmarkEnd w:id="53"/>
      <w:bookmarkEnd w:id="54"/>
      <w:bookmarkEnd w:id="55"/>
      <w:bookmarkEnd w:id="56"/>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强化关键技术突破。</w:t>
      </w:r>
      <w:r>
        <w:rPr>
          <w:rFonts w:ascii="Times New Roman" w:hAnsi="仿宋_GB2312" w:eastAsia="仿宋_GB2312" w:cs="Times New Roman"/>
          <w:sz w:val="32"/>
          <w:szCs w:val="32"/>
        </w:rPr>
        <w:t>围绕先进制造、新材料、大健康三大主导产业和其他重点产业链部署创新链，打好关键核心技术攻坚战，加快在新材料、工业软件、高端设备等领域补齐短板，加强关键核心技术、缺失技术研发攻关，鼓励企业联合开展共性技术攻关。争取国家、省、市科技专项资金支持企业开展高新技术领域攻关。</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加强创新载体建设。</w:t>
      </w:r>
      <w:r>
        <w:rPr>
          <w:rFonts w:ascii="Times New Roman" w:hAnsi="仿宋_GB2312" w:eastAsia="仿宋_GB2312" w:cs="Times New Roman"/>
          <w:sz w:val="32"/>
          <w:szCs w:val="32"/>
        </w:rPr>
        <w:t>主动对接</w:t>
      </w:r>
      <w:r>
        <w:rPr>
          <w:rFonts w:ascii="Times New Roman" w:hAnsi="Times New Roman" w:eastAsia="仿宋_GB2312" w:cs="Times New Roman"/>
          <w:sz w:val="32"/>
          <w:szCs w:val="32"/>
        </w:rPr>
        <w:t>“</w:t>
      </w:r>
      <w:r>
        <w:rPr>
          <w:rFonts w:ascii="Times New Roman" w:hAnsi="仿宋_GB2312" w:eastAsia="仿宋_GB2312" w:cs="Times New Roman"/>
          <w:sz w:val="32"/>
          <w:szCs w:val="32"/>
        </w:rPr>
        <w:t>广深港</w:t>
      </w:r>
      <w:r>
        <w:rPr>
          <w:rFonts w:ascii="Times New Roman" w:hAnsi="Times New Roman" w:eastAsia="仿宋_GB2312" w:cs="Times New Roman"/>
          <w:sz w:val="32"/>
          <w:szCs w:val="32"/>
        </w:rPr>
        <w:t>”“</w:t>
      </w:r>
      <w:r>
        <w:rPr>
          <w:rFonts w:ascii="Times New Roman" w:hAnsi="仿宋_GB2312" w:eastAsia="仿宋_GB2312" w:cs="Times New Roman"/>
          <w:sz w:val="32"/>
          <w:szCs w:val="32"/>
        </w:rPr>
        <w:t>广珠澳</w:t>
      </w:r>
      <w:r>
        <w:rPr>
          <w:rFonts w:ascii="Times New Roman" w:hAnsi="Times New Roman" w:eastAsia="仿宋_GB2312" w:cs="Times New Roman"/>
          <w:sz w:val="32"/>
          <w:szCs w:val="32"/>
        </w:rPr>
        <w:t>”</w:t>
      </w:r>
      <w:r>
        <w:rPr>
          <w:rFonts w:ascii="Times New Roman" w:hAnsi="仿宋_GB2312" w:eastAsia="仿宋_GB2312" w:cs="Times New Roman"/>
          <w:sz w:val="32"/>
          <w:szCs w:val="32"/>
        </w:rPr>
        <w:t>科技创新走廊，加快建设新会创新走廊。引进、建设一批高科技、高附加值的引领性产业项目，大力提升中科创新广场、中集智库、博士后创新示范中心运营实效，尽快建成省级科技企业孵化器，推动形成</w:t>
      </w:r>
      <w:r>
        <w:rPr>
          <w:rFonts w:ascii="Times New Roman" w:hAnsi="Times New Roman" w:eastAsia="仿宋_GB2312" w:cs="Times New Roman"/>
          <w:sz w:val="32"/>
          <w:szCs w:val="32"/>
        </w:rPr>
        <w:t>“</w:t>
      </w:r>
      <w:r>
        <w:rPr>
          <w:rFonts w:ascii="Times New Roman" w:hAnsi="仿宋_GB2312" w:eastAsia="仿宋_GB2312" w:cs="Times New Roman"/>
          <w:sz w:val="32"/>
          <w:szCs w:val="32"/>
        </w:rPr>
        <w:t>众创空间</w:t>
      </w:r>
      <w:r>
        <w:rPr>
          <w:rFonts w:ascii="Times New Roman" w:hAnsi="Times New Roman" w:eastAsia="仿宋_GB2312" w:cs="Times New Roman"/>
          <w:sz w:val="32"/>
          <w:szCs w:val="32"/>
        </w:rPr>
        <w:t>+</w:t>
      </w:r>
      <w:r>
        <w:rPr>
          <w:rFonts w:ascii="Times New Roman" w:hAnsi="仿宋_GB2312" w:eastAsia="仿宋_GB2312" w:cs="Times New Roman"/>
          <w:sz w:val="32"/>
          <w:szCs w:val="32"/>
        </w:rPr>
        <w:t>孵化器</w:t>
      </w:r>
      <w:r>
        <w:rPr>
          <w:rFonts w:ascii="Times New Roman" w:hAnsi="Times New Roman" w:eastAsia="仿宋_GB2312" w:cs="Times New Roman"/>
          <w:sz w:val="32"/>
          <w:szCs w:val="32"/>
        </w:rPr>
        <w:t>+</w:t>
      </w:r>
      <w:r>
        <w:rPr>
          <w:rFonts w:ascii="Times New Roman" w:hAnsi="仿宋_GB2312" w:eastAsia="仿宋_GB2312" w:cs="Times New Roman"/>
          <w:sz w:val="32"/>
          <w:szCs w:val="32"/>
        </w:rPr>
        <w:t>加速器</w:t>
      </w:r>
      <w:r>
        <w:rPr>
          <w:rFonts w:ascii="Times New Roman" w:hAnsi="Times New Roman" w:eastAsia="仿宋_GB2312" w:cs="Times New Roman"/>
          <w:sz w:val="32"/>
          <w:szCs w:val="32"/>
        </w:rPr>
        <w:t>”</w:t>
      </w:r>
      <w:r>
        <w:rPr>
          <w:rFonts w:ascii="Times New Roman" w:hAnsi="仿宋_GB2312" w:eastAsia="仿宋_GB2312" w:cs="Times New Roman"/>
          <w:sz w:val="32"/>
          <w:szCs w:val="32"/>
        </w:rPr>
        <w:t>创新创业孵化育成体系，力争迈入大湾区孵化器先进梯队，打造珠江西岸科技成果转化基地。大力支持扬航电商科技产业园申报省级众创空间，扶持中集智库和江门未沃科申报省级科技企业孵化器，推进小冈香业城组建</w:t>
      </w:r>
      <w:r>
        <w:rPr>
          <w:rFonts w:hint="eastAsia" w:ascii="Times New Roman" w:hAnsi="仿宋_GB2312" w:eastAsia="仿宋_GB2312" w:cs="Times New Roman"/>
          <w:sz w:val="32"/>
          <w:szCs w:val="32"/>
        </w:rPr>
        <w:t>省级</w:t>
      </w:r>
      <w:r>
        <w:rPr>
          <w:rFonts w:ascii="Times New Roman" w:hAnsi="仿宋_GB2312" w:eastAsia="仿宋_GB2312" w:cs="Times New Roman"/>
          <w:sz w:val="32"/>
          <w:szCs w:val="32"/>
        </w:rPr>
        <w:t>科技企业孵化器和众创空间。加快推进园区创新载体建设，大力提高深江产业园等重点园区平台协同创新能力。加强科研用地保障，优先安排用于重大科技基础设施项目。办好新会创新创业大赛，以赛促创，打造珠江西岸</w:t>
      </w:r>
      <w:r>
        <w:rPr>
          <w:rFonts w:ascii="Times New Roman" w:hAnsi="Times New Roman" w:eastAsia="仿宋_GB2312" w:cs="Times New Roman"/>
          <w:sz w:val="32"/>
          <w:szCs w:val="32"/>
        </w:rPr>
        <w:t>“</w:t>
      </w:r>
      <w:r>
        <w:rPr>
          <w:rFonts w:ascii="Times New Roman" w:hAnsi="仿宋_GB2312" w:eastAsia="仿宋_GB2312" w:cs="Times New Roman"/>
          <w:sz w:val="32"/>
          <w:szCs w:val="32"/>
        </w:rPr>
        <w:t>双创</w:t>
      </w:r>
      <w:r>
        <w:rPr>
          <w:rFonts w:ascii="Times New Roman" w:hAnsi="Times New Roman" w:eastAsia="仿宋_GB2312" w:cs="Times New Roman"/>
          <w:sz w:val="32"/>
          <w:szCs w:val="32"/>
        </w:rPr>
        <w:t>”</w:t>
      </w:r>
      <w:r>
        <w:rPr>
          <w:rFonts w:ascii="Times New Roman" w:hAnsi="仿宋_GB2312" w:eastAsia="仿宋_GB2312" w:cs="Times New Roman"/>
          <w:sz w:val="32"/>
          <w:szCs w:val="32"/>
        </w:rPr>
        <w:t>品牌。</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加强产学研协同创新。</w:t>
      </w:r>
      <w:r>
        <w:rPr>
          <w:rFonts w:ascii="Times New Roman" w:hAnsi="仿宋_GB2312" w:eastAsia="仿宋_GB2312" w:cs="Times New Roman"/>
          <w:sz w:val="32"/>
          <w:szCs w:val="32"/>
        </w:rPr>
        <w:t>强化企业创新主体作用，鼓励企业加大力度抓投入、抓研发、抓技改，把资源集中在关键环节、核心技术的突破上。实施高新技术企业树标提质行动，建立科技型中小企业高企培育数据库，做大做强高新技术企业</w:t>
      </w:r>
      <w:r>
        <w:rPr>
          <w:rFonts w:hint="eastAsia" w:ascii="Times New Roman" w:hAnsi="仿宋_GB2312" w:eastAsia="仿宋_GB2312" w:cs="Times New Roman"/>
          <w:sz w:val="32"/>
          <w:szCs w:val="32"/>
          <w:lang w:eastAsia="zh-CN"/>
        </w:rPr>
        <w:t>。探索“知识产权质押”“股权质押”融资模式，推动</w:t>
      </w:r>
      <w:r>
        <w:rPr>
          <w:rFonts w:ascii="Times New Roman" w:hAnsi="仿宋_GB2312" w:eastAsia="仿宋_GB2312" w:cs="Times New Roman"/>
          <w:sz w:val="32"/>
          <w:szCs w:val="32"/>
        </w:rPr>
        <w:t>科技型中小</w:t>
      </w:r>
      <w:r>
        <w:rPr>
          <w:rFonts w:hint="eastAsia" w:ascii="Times New Roman" w:hAnsi="仿宋_GB2312" w:eastAsia="仿宋_GB2312" w:cs="Times New Roman"/>
          <w:sz w:val="32"/>
          <w:szCs w:val="32"/>
          <w:lang w:eastAsia="zh-CN"/>
        </w:rPr>
        <w:t>微</w:t>
      </w:r>
      <w:r>
        <w:rPr>
          <w:rFonts w:ascii="Times New Roman" w:hAnsi="仿宋_GB2312" w:eastAsia="仿宋_GB2312" w:cs="Times New Roman"/>
          <w:sz w:val="32"/>
          <w:szCs w:val="32"/>
        </w:rPr>
        <w:t>企业</w:t>
      </w:r>
      <w:r>
        <w:rPr>
          <w:rFonts w:hint="eastAsia" w:ascii="Times New Roman" w:hAnsi="仿宋_GB2312" w:eastAsia="仿宋_GB2312" w:cs="Times New Roman"/>
          <w:sz w:val="32"/>
          <w:szCs w:val="32"/>
          <w:lang w:eastAsia="zh-CN"/>
        </w:rPr>
        <w:t>不断壮大</w:t>
      </w:r>
      <w:r>
        <w:rPr>
          <w:rFonts w:ascii="Times New Roman" w:hAnsi="仿宋_GB2312" w:eastAsia="仿宋_GB2312" w:cs="Times New Roman"/>
          <w:sz w:val="32"/>
          <w:szCs w:val="32"/>
        </w:rPr>
        <w:t>，把科技型中小企业作为后备高企重点培育对象。支持和引导企业与高校、科研院所对接，共同建设工程技术研究中心、企业技术中心等企业研发机构，共同开展科技项目、科技成果转化、高端人才引进项目。继续鼓励符合条件的企业创建新型研发机构、院士工作站、博士后工作站（基地），推动产学研向</w:t>
      </w:r>
      <w:r>
        <w:rPr>
          <w:rFonts w:ascii="Times New Roman" w:hAnsi="Times New Roman" w:eastAsia="仿宋_GB2312" w:cs="Times New Roman"/>
          <w:sz w:val="32"/>
          <w:szCs w:val="32"/>
        </w:rPr>
        <w:t>“</w:t>
      </w:r>
      <w:r>
        <w:rPr>
          <w:rFonts w:ascii="Times New Roman" w:hAnsi="仿宋_GB2312" w:eastAsia="仿宋_GB2312" w:cs="Times New Roman"/>
          <w:sz w:val="32"/>
          <w:szCs w:val="32"/>
        </w:rPr>
        <w:t>深度融合</w:t>
      </w:r>
      <w:r>
        <w:rPr>
          <w:rFonts w:ascii="Times New Roman" w:hAnsi="Times New Roman" w:eastAsia="仿宋_GB2312" w:cs="Times New Roman"/>
          <w:sz w:val="32"/>
          <w:szCs w:val="32"/>
        </w:rPr>
        <w:t>”</w:t>
      </w:r>
      <w:r>
        <w:rPr>
          <w:rFonts w:ascii="Times New Roman" w:hAnsi="仿宋_GB2312" w:eastAsia="仿宋_GB2312" w:cs="Times New Roman"/>
          <w:sz w:val="32"/>
          <w:szCs w:val="32"/>
        </w:rPr>
        <w:t>转变。引导美达锦纶、李锦记等龙头企业建设国家工程技术研究中心、技术创新中心和重点实验室。力争</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年全区高新技术企业存量增至</w:t>
      </w:r>
      <w:r>
        <w:rPr>
          <w:rFonts w:ascii="Times New Roman" w:hAnsi="Times New Roman" w:eastAsia="仿宋_GB2312" w:cs="Times New Roman"/>
          <w:sz w:val="32"/>
          <w:szCs w:val="32"/>
        </w:rPr>
        <w:t>600</w:t>
      </w:r>
      <w:r>
        <w:rPr>
          <w:rFonts w:ascii="Times New Roman" w:hAnsi="仿宋_GB2312" w:eastAsia="仿宋_GB2312" w:cs="Times New Roman"/>
          <w:sz w:val="32"/>
          <w:szCs w:val="32"/>
        </w:rPr>
        <w:t>家，科技型中小企业超</w:t>
      </w:r>
      <w:r>
        <w:rPr>
          <w:rFonts w:ascii="Times New Roman" w:hAnsi="Times New Roman" w:eastAsia="仿宋_GB2312" w:cs="Times New Roman"/>
          <w:sz w:val="32"/>
          <w:szCs w:val="32"/>
        </w:rPr>
        <w:t>400</w:t>
      </w:r>
      <w:r>
        <w:rPr>
          <w:rFonts w:ascii="Times New Roman" w:hAnsi="仿宋_GB2312" w:eastAsia="仿宋_GB2312" w:cs="Times New Roman"/>
          <w:sz w:val="32"/>
          <w:szCs w:val="32"/>
        </w:rPr>
        <w:t>家。</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加强知识产权保护。</w:t>
      </w:r>
      <w:r>
        <w:rPr>
          <w:rFonts w:ascii="Times New Roman" w:hAnsi="仿宋_GB2312" w:eastAsia="仿宋_GB2312" w:cs="Times New Roman"/>
          <w:sz w:val="32"/>
          <w:szCs w:val="32"/>
        </w:rPr>
        <w:t>进一步推进</w:t>
      </w:r>
      <w:r>
        <w:rPr>
          <w:rFonts w:ascii="Times New Roman" w:hAnsi="Times New Roman" w:eastAsia="仿宋_GB2312" w:cs="Times New Roman"/>
          <w:sz w:val="32"/>
          <w:szCs w:val="32"/>
        </w:rPr>
        <w:t>“</w:t>
      </w:r>
      <w:r>
        <w:rPr>
          <w:rFonts w:ascii="Times New Roman" w:hAnsi="仿宋_GB2312" w:eastAsia="仿宋_GB2312" w:cs="Times New Roman"/>
          <w:sz w:val="32"/>
          <w:szCs w:val="32"/>
        </w:rPr>
        <w:t>国家知识产权强县工程试点县（区）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建设。指导企业建立知识产权工作体系，大力培育创新型领军企业和知识产权优势（示范）企业。强化知识产权制度约束，加大侵权假冒行为惩戒力度，严格规范证据标准，强化案件执行措施，完善新业态新领域保护制度。加强社会监督共治，完善跨部门跨区域知识产权共享协作机制。</w:t>
      </w:r>
    </w:p>
    <w:p>
      <w:pPr>
        <w:pStyle w:val="3"/>
        <w:jc w:val="center"/>
        <w:rPr>
          <w:rFonts w:ascii="Times New Roman" w:hAnsi="Times New Roman" w:eastAsia="楷体_GB2312"/>
          <w:b w:val="0"/>
        </w:rPr>
      </w:pPr>
      <w:bookmarkStart w:id="57" w:name="_Toc60738016"/>
      <w:bookmarkStart w:id="58" w:name="_Toc3026"/>
      <w:bookmarkStart w:id="59" w:name="_Toc14939"/>
      <w:bookmarkStart w:id="60" w:name="_Toc61946318"/>
      <w:bookmarkStart w:id="61" w:name="_Toc6454"/>
      <w:r>
        <w:rPr>
          <w:rFonts w:ascii="Times New Roman" w:hAnsi="Times New Roman" w:eastAsia="楷体_GB2312"/>
          <w:b w:val="0"/>
        </w:rPr>
        <w:t>第二节</w:t>
      </w:r>
      <w:bookmarkEnd w:id="57"/>
      <w:r>
        <w:rPr>
          <w:rFonts w:ascii="Times New Roman" w:hAnsi="Times New Roman" w:eastAsia="楷体_GB2312"/>
          <w:b w:val="0"/>
        </w:rPr>
        <w:t xml:space="preserve"> 激发人才创新活力</w:t>
      </w:r>
      <w:bookmarkEnd w:id="58"/>
      <w:bookmarkEnd w:id="59"/>
      <w:bookmarkEnd w:id="60"/>
      <w:bookmarkEnd w:id="61"/>
    </w:p>
    <w:p>
      <w:pPr>
        <w:spacing w:before="150"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加大人才培育和引进。</w:t>
      </w:r>
      <w:r>
        <w:rPr>
          <w:rFonts w:ascii="Times New Roman" w:hAnsi="仿宋_GB2312" w:eastAsia="仿宋_GB2312" w:cs="Times New Roman"/>
          <w:sz w:val="32"/>
          <w:szCs w:val="32"/>
        </w:rPr>
        <w:t>深入实施人才强区战略，为高质量发展提供智力支撑。围绕工业立区，出台更加积极、开放、有效</w:t>
      </w:r>
      <w:r>
        <w:rPr>
          <w:rFonts w:hint="eastAsia" w:ascii="Times New Roman" w:hAnsi="仿宋_GB2312" w:eastAsia="仿宋_GB2312" w:cs="Times New Roman"/>
          <w:sz w:val="32"/>
          <w:szCs w:val="32"/>
        </w:rPr>
        <w:t>和</w:t>
      </w:r>
      <w:r>
        <w:rPr>
          <w:rFonts w:ascii="Times New Roman" w:hAnsi="仿宋_GB2312" w:eastAsia="仿宋_GB2312" w:cs="Times New Roman"/>
          <w:sz w:val="32"/>
          <w:szCs w:val="32"/>
        </w:rPr>
        <w:t>具有新会特色的差异化引才育才政策</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加强专业技术人才队伍建设，对于重点发展的产业，有针对性地引入</w:t>
      </w:r>
      <w:r>
        <w:rPr>
          <w:rFonts w:hint="eastAsia" w:ascii="Times New Roman" w:hAnsi="仿宋_GB2312" w:eastAsia="仿宋_GB2312" w:cs="Times New Roman"/>
          <w:sz w:val="32"/>
          <w:szCs w:val="32"/>
        </w:rPr>
        <w:t>专业</w:t>
      </w:r>
      <w:r>
        <w:rPr>
          <w:rFonts w:ascii="Times New Roman" w:hAnsi="仿宋_GB2312" w:eastAsia="仿宋_GB2312" w:cs="Times New Roman"/>
          <w:sz w:val="32"/>
          <w:szCs w:val="32"/>
        </w:rPr>
        <w:t>人才，提供产业发展的人才支撑。支持五邑大学与广东华立学院共建海洋学院，培育涉海学科人才。加强联合实验室、技术创新中心、博士站等科技创新平台建设，推动平台不断完善运行机制、管理机制和激励机制，切实增强科研人员的创造力和活力。探索柔性引才，通过</w:t>
      </w:r>
      <w:r>
        <w:rPr>
          <w:rFonts w:ascii="Times New Roman" w:hAnsi="Times New Roman" w:eastAsia="仿宋_GB2312" w:cs="Times New Roman"/>
          <w:sz w:val="32"/>
          <w:szCs w:val="32"/>
        </w:rPr>
        <w:t>“</w:t>
      </w:r>
      <w:r>
        <w:rPr>
          <w:rFonts w:ascii="Times New Roman" w:hAnsi="仿宋_GB2312" w:eastAsia="仿宋_GB2312" w:cs="Times New Roman"/>
          <w:sz w:val="32"/>
          <w:szCs w:val="32"/>
        </w:rPr>
        <w:t>星期天工程师</w:t>
      </w:r>
      <w:r>
        <w:rPr>
          <w:rFonts w:ascii="Times New Roman" w:hAnsi="Times New Roman" w:eastAsia="仿宋_GB2312" w:cs="Times New Roman"/>
          <w:sz w:val="32"/>
          <w:szCs w:val="32"/>
        </w:rPr>
        <w:t>”“</w:t>
      </w:r>
      <w:r>
        <w:rPr>
          <w:rFonts w:ascii="Times New Roman" w:hAnsi="仿宋_GB2312" w:eastAsia="仿宋_GB2312" w:cs="Times New Roman"/>
          <w:sz w:val="32"/>
          <w:szCs w:val="32"/>
        </w:rPr>
        <w:t>季度专家</w:t>
      </w:r>
      <w:r>
        <w:rPr>
          <w:rFonts w:ascii="Times New Roman" w:hAnsi="Times New Roman" w:eastAsia="仿宋_GB2312" w:cs="Times New Roman"/>
          <w:sz w:val="32"/>
          <w:szCs w:val="32"/>
        </w:rPr>
        <w:t>”</w:t>
      </w:r>
      <w:r>
        <w:rPr>
          <w:rFonts w:ascii="Times New Roman" w:hAnsi="仿宋_GB2312" w:eastAsia="仿宋_GB2312" w:cs="Times New Roman"/>
          <w:sz w:val="32"/>
          <w:szCs w:val="32"/>
        </w:rPr>
        <w:t>等模式引进一批科技领军人才和高水平创新团队。充分利用海外侨胞人才资源，加强海外引才力度。</w:t>
      </w:r>
      <w:r>
        <w:rPr>
          <w:rFonts w:ascii="Times New Roman" w:hAnsi="Times New Roman" w:eastAsia="仿宋_GB2312" w:cs="Times New Roman"/>
          <w:sz w:val="32"/>
          <w:szCs w:val="32"/>
        </w:rPr>
        <w:t>“</w:t>
      </w:r>
      <w:r>
        <w:rPr>
          <w:rFonts w:ascii="Times New Roman" w:hAnsi="仿宋_GB2312" w:eastAsia="仿宋_GB2312" w:cs="Times New Roman"/>
          <w:sz w:val="32"/>
          <w:szCs w:val="32"/>
        </w:rPr>
        <w:t>订单式</w:t>
      </w:r>
      <w:r>
        <w:rPr>
          <w:rFonts w:ascii="Times New Roman" w:hAnsi="Times New Roman" w:eastAsia="仿宋_GB2312" w:cs="Times New Roman"/>
          <w:sz w:val="32"/>
          <w:szCs w:val="32"/>
        </w:rPr>
        <w:t>”</w:t>
      </w:r>
      <w:r>
        <w:rPr>
          <w:rFonts w:ascii="Times New Roman" w:hAnsi="仿宋_GB2312" w:eastAsia="仿宋_GB2312" w:cs="Times New Roman"/>
          <w:sz w:val="32"/>
          <w:szCs w:val="32"/>
        </w:rPr>
        <w:t>培养应用型人才，提高人才本地供给率，吸引本土人才回流发展。以服务地方产业发展为导向，开展有计划有目标的政策推介和宣传。</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优化人才发展环境。</w:t>
      </w:r>
      <w:r>
        <w:rPr>
          <w:rFonts w:ascii="Times New Roman" w:hAnsi="仿宋_GB2312" w:eastAsia="仿宋_GB2312" w:cs="Times New Roman"/>
          <w:sz w:val="32"/>
          <w:szCs w:val="32"/>
        </w:rPr>
        <w:t>深化</w:t>
      </w:r>
      <w:r>
        <w:rPr>
          <w:rFonts w:ascii="Times New Roman" w:hAnsi="Times New Roman" w:eastAsia="仿宋_GB2312" w:cs="Times New Roman"/>
          <w:sz w:val="32"/>
          <w:szCs w:val="32"/>
        </w:rPr>
        <w:t>“</w:t>
      </w:r>
      <w:r>
        <w:rPr>
          <w:rFonts w:ascii="Times New Roman" w:hAnsi="仿宋_GB2312" w:eastAsia="仿宋_GB2312" w:cs="Times New Roman"/>
          <w:sz w:val="32"/>
          <w:szCs w:val="32"/>
        </w:rPr>
        <w:t>人才驿站</w:t>
      </w:r>
      <w:r>
        <w:rPr>
          <w:rFonts w:ascii="Times New Roman" w:hAnsi="Times New Roman" w:eastAsia="仿宋_GB2312" w:cs="Times New Roman"/>
          <w:sz w:val="32"/>
          <w:szCs w:val="32"/>
        </w:rPr>
        <w:t>+</w:t>
      </w:r>
      <w:r>
        <w:rPr>
          <w:rFonts w:ascii="Times New Roman" w:hAnsi="仿宋_GB2312" w:eastAsia="仿宋_GB2312" w:cs="Times New Roman"/>
          <w:sz w:val="32"/>
          <w:szCs w:val="32"/>
        </w:rPr>
        <w:t>人才系统</w:t>
      </w:r>
      <w:r>
        <w:rPr>
          <w:rFonts w:ascii="Times New Roman" w:hAnsi="Times New Roman" w:eastAsia="仿宋_GB2312" w:cs="Times New Roman"/>
          <w:sz w:val="32"/>
          <w:szCs w:val="32"/>
        </w:rPr>
        <w:t>+</w:t>
      </w:r>
      <w:r>
        <w:rPr>
          <w:rFonts w:ascii="Times New Roman" w:hAnsi="仿宋_GB2312" w:eastAsia="仿宋_GB2312" w:cs="Times New Roman"/>
          <w:sz w:val="32"/>
          <w:szCs w:val="32"/>
        </w:rPr>
        <w:t>人才管家</w:t>
      </w:r>
      <w:r>
        <w:rPr>
          <w:rFonts w:ascii="Times New Roman" w:hAnsi="Times New Roman" w:eastAsia="仿宋_GB2312" w:cs="Times New Roman"/>
          <w:sz w:val="32"/>
          <w:szCs w:val="32"/>
        </w:rPr>
        <w:t>”</w:t>
      </w:r>
      <w:r>
        <w:rPr>
          <w:rFonts w:ascii="Times New Roman" w:hAnsi="仿宋_GB2312" w:eastAsia="仿宋_GB2312" w:cs="Times New Roman"/>
          <w:sz w:val="32"/>
          <w:szCs w:val="32"/>
        </w:rPr>
        <w:t>的人才服务体系，完善</w:t>
      </w:r>
      <w:r>
        <w:rPr>
          <w:rFonts w:ascii="Times New Roman" w:hAnsi="Times New Roman" w:eastAsia="仿宋_GB2312" w:cs="Times New Roman"/>
          <w:sz w:val="32"/>
          <w:szCs w:val="32"/>
        </w:rPr>
        <w:t>“</w:t>
      </w:r>
      <w:r>
        <w:rPr>
          <w:rFonts w:ascii="Times New Roman" w:hAnsi="仿宋_GB2312" w:eastAsia="仿宋_GB2312" w:cs="Times New Roman"/>
          <w:sz w:val="32"/>
          <w:szCs w:val="32"/>
        </w:rPr>
        <w:t>葵乡人才卡</w:t>
      </w:r>
      <w:r>
        <w:rPr>
          <w:rFonts w:ascii="Times New Roman" w:hAnsi="Times New Roman" w:eastAsia="仿宋_GB2312" w:cs="Times New Roman"/>
          <w:sz w:val="32"/>
          <w:szCs w:val="32"/>
        </w:rPr>
        <w:t>”</w:t>
      </w:r>
      <w:r>
        <w:rPr>
          <w:rFonts w:ascii="Times New Roman" w:hAnsi="仿宋_GB2312" w:eastAsia="仿宋_GB2312" w:cs="Times New Roman"/>
          <w:sz w:val="32"/>
          <w:szCs w:val="32"/>
        </w:rPr>
        <w:t>功能，营造吸引人才的良好环境。贯彻落实各级人才新政和补贴。创新人才管理模式，完善智慧人才管理系统，继续建好人才</w:t>
      </w:r>
      <w:r>
        <w:rPr>
          <w:rFonts w:ascii="Times New Roman" w:hAnsi="Times New Roman" w:eastAsia="仿宋_GB2312" w:cs="Times New Roman"/>
          <w:sz w:val="32"/>
          <w:szCs w:val="32"/>
        </w:rPr>
        <w:t>“</w:t>
      </w:r>
      <w:r>
        <w:rPr>
          <w:rFonts w:ascii="Times New Roman" w:hAnsi="仿宋_GB2312" w:eastAsia="仿宋_GB2312" w:cs="Times New Roman"/>
          <w:sz w:val="32"/>
          <w:szCs w:val="32"/>
        </w:rPr>
        <w:t>数字档案</w:t>
      </w:r>
      <w:r>
        <w:rPr>
          <w:rFonts w:ascii="Times New Roman" w:hAnsi="Times New Roman" w:eastAsia="仿宋_GB2312" w:cs="Times New Roman"/>
          <w:sz w:val="32"/>
          <w:szCs w:val="32"/>
        </w:rPr>
        <w:t>”</w:t>
      </w:r>
      <w:r>
        <w:rPr>
          <w:rFonts w:ascii="Times New Roman" w:hAnsi="仿宋_GB2312" w:eastAsia="仿宋_GB2312" w:cs="Times New Roman"/>
          <w:sz w:val="32"/>
          <w:szCs w:val="32"/>
        </w:rPr>
        <w:t>，畅通人才业务在线申请、在线审批功能。进一步优化人才公共服务，推动人才公寓建设，打造人才安居工程，让各类人才</w:t>
      </w:r>
      <w:r>
        <w:rPr>
          <w:rFonts w:ascii="Times New Roman" w:hAnsi="Times New Roman" w:eastAsia="仿宋_GB2312" w:cs="Times New Roman"/>
          <w:sz w:val="32"/>
          <w:szCs w:val="32"/>
        </w:rPr>
        <w:t>“</w:t>
      </w:r>
      <w:r>
        <w:rPr>
          <w:rFonts w:ascii="Times New Roman" w:hAnsi="仿宋_GB2312" w:eastAsia="仿宋_GB2312" w:cs="Times New Roman"/>
          <w:sz w:val="32"/>
          <w:szCs w:val="32"/>
        </w:rPr>
        <w:t>引得进、留得住</w:t>
      </w:r>
      <w:r>
        <w:rPr>
          <w:rFonts w:ascii="Times New Roman" w:hAnsi="Times New Roman" w:eastAsia="仿宋_GB2312" w:cs="Times New Roman"/>
          <w:sz w:val="32"/>
          <w:szCs w:val="32"/>
        </w:rPr>
        <w:t>”</w:t>
      </w:r>
      <w:r>
        <w:rPr>
          <w:rFonts w:ascii="Times New Roman" w:hAnsi="仿宋_GB2312" w:eastAsia="仿宋_GB2312" w:cs="Times New Roman"/>
          <w:sz w:val="32"/>
          <w:szCs w:val="32"/>
        </w:rPr>
        <w:t>。定期策划、举办人才联谊交流活动，擦亮</w:t>
      </w:r>
      <w:r>
        <w:rPr>
          <w:rFonts w:ascii="Times New Roman" w:hAnsi="Times New Roman" w:eastAsia="仿宋_GB2312" w:cs="Times New Roman"/>
          <w:sz w:val="32"/>
          <w:szCs w:val="32"/>
        </w:rPr>
        <w:t>“</w:t>
      </w:r>
      <w:r>
        <w:rPr>
          <w:rFonts w:ascii="Times New Roman" w:hAnsi="仿宋_GB2312" w:eastAsia="仿宋_GB2312" w:cs="Times New Roman"/>
          <w:sz w:val="32"/>
          <w:szCs w:val="32"/>
        </w:rPr>
        <w:t>博士大讲堂</w:t>
      </w:r>
      <w:r>
        <w:rPr>
          <w:rFonts w:ascii="Times New Roman" w:hAnsi="Times New Roman" w:eastAsia="仿宋_GB2312" w:cs="Times New Roman"/>
          <w:sz w:val="32"/>
          <w:szCs w:val="32"/>
        </w:rPr>
        <w:t>”</w:t>
      </w:r>
      <w:r>
        <w:rPr>
          <w:rFonts w:ascii="Times New Roman" w:hAnsi="仿宋_GB2312" w:eastAsia="仿宋_GB2312" w:cs="Times New Roman"/>
          <w:sz w:val="32"/>
          <w:szCs w:val="32"/>
        </w:rPr>
        <w:t>品牌，搭建交流平台，进一步拓宽人才沟通渠道，为人才创造更多的学习交流机会。持续推动人才驿站建设，打造新会人才温馨家园。</w:t>
      </w:r>
    </w:p>
    <w:p>
      <w:pPr>
        <w:pStyle w:val="3"/>
        <w:spacing w:line="560" w:lineRule="exact"/>
        <w:jc w:val="center"/>
        <w:rPr>
          <w:rFonts w:ascii="Times New Roman" w:hAnsi="Times New Roman" w:eastAsia="楷体_GB2312"/>
          <w:b w:val="0"/>
        </w:rPr>
      </w:pPr>
      <w:bookmarkStart w:id="62" w:name="_Toc61946319"/>
      <w:bookmarkStart w:id="63" w:name="_Toc60738017"/>
      <w:bookmarkStart w:id="64" w:name="_Toc10975"/>
      <w:bookmarkStart w:id="65" w:name="_Toc5833"/>
      <w:bookmarkStart w:id="66" w:name="_Toc12747"/>
      <w:r>
        <w:rPr>
          <w:rFonts w:ascii="Times New Roman" w:hAnsi="Times New Roman" w:eastAsia="楷体_GB2312"/>
          <w:b w:val="0"/>
        </w:rPr>
        <w:t>第三节 深度参与大湾区创新</w:t>
      </w:r>
      <w:bookmarkEnd w:id="62"/>
      <w:bookmarkEnd w:id="63"/>
      <w:bookmarkEnd w:id="64"/>
      <w:bookmarkEnd w:id="65"/>
      <w:bookmarkEnd w:id="66"/>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主动融入大湾区创新圈。</w:t>
      </w:r>
      <w:r>
        <w:rPr>
          <w:rFonts w:ascii="Times New Roman" w:hAnsi="仿宋_GB2312" w:eastAsia="仿宋_GB2312" w:cs="Times New Roman"/>
          <w:sz w:val="32"/>
          <w:szCs w:val="32"/>
        </w:rPr>
        <w:t>依托粤港澳大湾区（珠西）高端产业集聚发展区，探索与珠海、澳门等湾区城市多元合作路径，推动区内企业与大湾区高校、科研院共同合作交流。促进科技创新密切合作，重点推动融入大湾区新材料、海洋工程装备、生物医药等领域的创新圈。探索与澳门融合发展新模式，共同探索搭建粤澳青年互动交流平台，主动对接澳门创新创业资源，打通科技成果与产业转化通道，助推澳门青年赴新会发展。依托深江产业园、澳葡青年创业园，吸引广深、港澳优秀科技人才、科研机构落户发展，不断提高区域创新能力，打造湾区核心城市创新资源溢出承载地和成果转化集聚地。</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打造和加入企业创新联盟。</w:t>
      </w:r>
      <w:r>
        <w:rPr>
          <w:rFonts w:ascii="Times New Roman" w:hAnsi="仿宋_GB2312" w:eastAsia="仿宋_GB2312" w:cs="Times New Roman"/>
          <w:sz w:val="32"/>
          <w:szCs w:val="32"/>
        </w:rPr>
        <w:t>围绕主导产业建立区内产业创新联盟，支持和鼓励区内企业加入大湾区产业联盟和技术创新联盟，与联盟单位联合立项、联合攻关、联合人才培养，建设创新网络体系，加强集成技术创新，突破产业重大共性技术难题，形成优势互补、资源共享、共同发展的新局面。</w:t>
      </w:r>
    </w:p>
    <w:p>
      <w:pPr>
        <w:pStyle w:val="2"/>
        <w:spacing w:line="560" w:lineRule="exact"/>
        <w:rPr>
          <w:rFonts w:ascii="Times New Roman" w:hAnsi="Times New Roman"/>
          <w:b w:val="0"/>
          <w:bCs/>
          <w:szCs w:val="32"/>
        </w:rPr>
      </w:pPr>
      <w:r>
        <w:rPr>
          <w:rFonts w:ascii="Times New Roman" w:hAnsi="Times New Roman"/>
          <w:szCs w:val="32"/>
        </w:rPr>
        <w:br w:type="page"/>
      </w:r>
      <w:bookmarkStart w:id="67" w:name="_Toc30656"/>
      <w:bookmarkStart w:id="68" w:name="_Toc2784"/>
      <w:bookmarkStart w:id="69" w:name="_Toc61946320"/>
      <w:bookmarkStart w:id="70" w:name="_Toc26895"/>
      <w:bookmarkStart w:id="71" w:name="_Toc60738018"/>
      <w:r>
        <w:rPr>
          <w:rFonts w:ascii="Times New Roman"/>
          <w:b w:val="0"/>
          <w:bCs/>
          <w:szCs w:val="32"/>
        </w:rPr>
        <w:t>第四章</w:t>
      </w:r>
      <w:r>
        <w:rPr>
          <w:rFonts w:hint="eastAsia" w:ascii="Times New Roman"/>
          <w:b w:val="0"/>
          <w:bCs/>
          <w:szCs w:val="32"/>
          <w:lang w:val="en-US" w:eastAsia="zh-CN"/>
        </w:rPr>
        <w:t xml:space="preserve"> </w:t>
      </w:r>
      <w:r>
        <w:rPr>
          <w:rFonts w:ascii="Times New Roman"/>
          <w:b w:val="0"/>
          <w:bCs/>
          <w:szCs w:val="32"/>
        </w:rPr>
        <w:t>聚焦工业立区</w:t>
      </w:r>
      <w:r>
        <w:rPr>
          <w:rFonts w:hint="eastAsia" w:ascii="Times New Roman"/>
          <w:b w:val="0"/>
          <w:bCs/>
          <w:szCs w:val="32"/>
          <w:lang w:val="en-US" w:eastAsia="zh-CN"/>
        </w:rPr>
        <w:t xml:space="preserve"> </w:t>
      </w:r>
      <w:r>
        <w:rPr>
          <w:rFonts w:ascii="Times New Roman"/>
          <w:b w:val="0"/>
          <w:bCs/>
          <w:szCs w:val="32"/>
        </w:rPr>
        <w:t>推动现代产业高质量发展</w:t>
      </w:r>
      <w:bookmarkEnd w:id="67"/>
      <w:bookmarkEnd w:id="68"/>
      <w:bookmarkEnd w:id="69"/>
      <w:bookmarkEnd w:id="70"/>
      <w:bookmarkEnd w:id="71"/>
    </w:p>
    <w:p>
      <w:pPr>
        <w:adjustRightInd/>
        <w:spacing w:line="560" w:lineRule="exact"/>
        <w:ind w:firstLine="640" w:firstLineChars="200"/>
        <w:jc w:val="both"/>
        <w:rPr>
          <w:rFonts w:ascii="Times New Roman" w:hAnsi="Times New Roman" w:eastAsia="仿宋_GB2312" w:cs="Times New Roman"/>
          <w:bCs/>
          <w:sz w:val="32"/>
          <w:szCs w:val="32"/>
        </w:rPr>
      </w:pPr>
      <w:bookmarkStart w:id="72" w:name="_Toc24758"/>
      <w:bookmarkStart w:id="73" w:name="_Toc19644"/>
      <w:bookmarkStart w:id="74" w:name="_Toc61946321"/>
      <w:bookmarkStart w:id="75" w:name="_Toc32723"/>
      <w:bookmarkStart w:id="76" w:name="_Toc60738019"/>
      <w:r>
        <w:rPr>
          <w:rFonts w:ascii="Times New Roman" w:hAnsi="仿宋_GB2312" w:eastAsia="仿宋_GB2312" w:cs="Times New Roman"/>
          <w:sz w:val="32"/>
          <w:szCs w:val="32"/>
        </w:rPr>
        <w:t>抓住全球新一轮科技革命和产业变革的重大机遇，积极对接省</w:t>
      </w:r>
      <w:r>
        <w:rPr>
          <w:rFonts w:ascii="Times New Roman" w:hAnsi="Times New Roman" w:eastAsia="仿宋_GB2312" w:cs="Times New Roman"/>
          <w:sz w:val="32"/>
          <w:szCs w:val="32"/>
        </w:rPr>
        <w:t>“</w:t>
      </w:r>
      <w:r>
        <w:rPr>
          <w:rFonts w:ascii="Times New Roman" w:hAnsi="仿宋_GB2312" w:eastAsia="仿宋_GB2312" w:cs="Times New Roman"/>
          <w:sz w:val="32"/>
          <w:szCs w:val="32"/>
        </w:rPr>
        <w:t>双十</w:t>
      </w:r>
      <w:r>
        <w:rPr>
          <w:rFonts w:ascii="Times New Roman" w:hAnsi="Times New Roman" w:eastAsia="仿宋_GB2312" w:cs="Times New Roman"/>
          <w:sz w:val="32"/>
          <w:szCs w:val="32"/>
        </w:rPr>
        <w:t>”</w:t>
      </w:r>
      <w:r>
        <w:rPr>
          <w:rFonts w:ascii="Times New Roman" w:hAnsi="仿宋_GB2312" w:eastAsia="仿宋_GB2312" w:cs="Times New Roman"/>
          <w:sz w:val="32"/>
          <w:szCs w:val="32"/>
        </w:rPr>
        <w:t>产业集群，</w:t>
      </w:r>
      <w:r>
        <w:rPr>
          <w:rFonts w:hint="eastAsia" w:ascii="Times New Roman" w:hAnsi="仿宋_GB2312" w:eastAsia="仿宋_GB2312" w:cs="Times New Roman"/>
          <w:sz w:val="32"/>
          <w:szCs w:val="32"/>
        </w:rPr>
        <w:t>重点培育发展“3+N”产业集群，精耕三大新兴</w:t>
      </w:r>
      <w:r>
        <w:rPr>
          <w:rFonts w:ascii="Times New Roman" w:hAnsi="仿宋_GB2312" w:eastAsia="仿宋_GB2312" w:cs="Times New Roman"/>
          <w:sz w:val="32"/>
          <w:szCs w:val="32"/>
        </w:rPr>
        <w:t>产业重点细分行业，持续推动传统产业转型升级，加快发展现代服务业，大力发展数字经济，全面提高经济质量效益和竞争力，</w:t>
      </w:r>
      <w:r>
        <w:rPr>
          <w:rFonts w:hint="eastAsia" w:ascii="Times New Roman" w:hAnsi="仿宋_GB2312" w:eastAsia="仿宋_GB2312" w:cs="Times New Roman"/>
          <w:sz w:val="32"/>
          <w:szCs w:val="32"/>
        </w:rPr>
        <w:t>实现</w:t>
      </w:r>
      <w:r>
        <w:rPr>
          <w:rFonts w:ascii="Times New Roman" w:hAnsi="仿宋_GB2312" w:eastAsia="仿宋_GB2312" w:cs="Times New Roman"/>
          <w:sz w:val="32"/>
          <w:szCs w:val="32"/>
        </w:rPr>
        <w:t>工业立区、产业兴区、质量强区。</w:t>
      </w:r>
    </w:p>
    <w:p>
      <w:pPr>
        <w:pStyle w:val="3"/>
        <w:spacing w:line="560" w:lineRule="exact"/>
        <w:jc w:val="center"/>
        <w:rPr>
          <w:rFonts w:ascii="Times New Roman" w:hAnsi="Times New Roman" w:eastAsia="楷体_GB2312"/>
          <w:b w:val="0"/>
        </w:rPr>
      </w:pPr>
      <w:r>
        <w:rPr>
          <w:rFonts w:ascii="Times New Roman" w:hAnsi="Times New Roman" w:eastAsia="楷体_GB2312"/>
          <w:b w:val="0"/>
        </w:rPr>
        <w:t>第一节</w:t>
      </w:r>
      <w:r>
        <w:rPr>
          <w:rFonts w:hint="eastAsia" w:ascii="Times New Roman" w:hAnsi="Times New Roman" w:eastAsia="楷体_GB2312"/>
          <w:b w:val="0"/>
          <w:lang w:val="en-US" w:eastAsia="zh-CN"/>
        </w:rPr>
        <w:t xml:space="preserve"> </w:t>
      </w:r>
      <w:r>
        <w:rPr>
          <w:rFonts w:ascii="Times New Roman" w:hAnsi="Times New Roman" w:eastAsia="楷体_GB2312"/>
          <w:b w:val="0"/>
        </w:rPr>
        <w:t>做强做优三大</w:t>
      </w:r>
      <w:r>
        <w:rPr>
          <w:rFonts w:hint="eastAsia" w:ascii="Times New Roman" w:hAnsi="Times New Roman" w:eastAsia="楷体_GB2312"/>
          <w:b w:val="0"/>
        </w:rPr>
        <w:t>新兴</w:t>
      </w:r>
      <w:r>
        <w:rPr>
          <w:rFonts w:ascii="Times New Roman" w:hAnsi="Times New Roman" w:eastAsia="楷体_GB2312"/>
          <w:b w:val="0"/>
        </w:rPr>
        <w:t>产业</w:t>
      </w:r>
      <w:bookmarkEnd w:id="72"/>
      <w:bookmarkEnd w:id="73"/>
      <w:bookmarkEnd w:id="74"/>
      <w:bookmarkEnd w:id="75"/>
      <w:bookmarkEnd w:id="76"/>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打造</w:t>
      </w:r>
      <w:r>
        <w:rPr>
          <w:rFonts w:hint="eastAsia" w:ascii="Times New Roman" w:hAnsi="仿宋_GB2312" w:eastAsia="仿宋_GB2312" w:cs="Times New Roman"/>
          <w:b/>
          <w:sz w:val="32"/>
          <w:szCs w:val="32"/>
        </w:rPr>
        <w:t>大健康</w:t>
      </w:r>
      <w:r>
        <w:rPr>
          <w:rFonts w:ascii="Times New Roman" w:hAnsi="仿宋_GB2312" w:eastAsia="仿宋_GB2312" w:cs="Times New Roman"/>
          <w:b/>
          <w:sz w:val="32"/>
          <w:szCs w:val="32"/>
        </w:rPr>
        <w:t>产业集群。</w:t>
      </w:r>
      <w:r>
        <w:rPr>
          <w:rFonts w:ascii="Times New Roman" w:hAnsi="仿宋_GB2312" w:eastAsia="仿宋_GB2312" w:cs="Times New Roman"/>
          <w:sz w:val="32"/>
          <w:szCs w:val="32"/>
        </w:rPr>
        <w:t>以新型功能食品、医药制造、</w:t>
      </w:r>
      <w:r>
        <w:rPr>
          <w:rFonts w:ascii="Times New Roman" w:hAnsi="Times New Roman" w:eastAsia="仿宋_GB2312" w:cs="Times New Roman"/>
          <w:sz w:val="32"/>
          <w:szCs w:val="32"/>
        </w:rPr>
        <w:t>“</w:t>
      </w:r>
      <w:r>
        <w:rPr>
          <w:rFonts w:ascii="Times New Roman" w:hAnsi="仿宋_GB2312" w:eastAsia="仿宋_GB2312" w:cs="Times New Roman"/>
          <w:sz w:val="32"/>
          <w:szCs w:val="32"/>
        </w:rPr>
        <w:t>智慧医疗</w:t>
      </w:r>
      <w:r>
        <w:rPr>
          <w:rFonts w:ascii="Times New Roman" w:hAnsi="Times New Roman" w:eastAsia="仿宋_GB2312" w:cs="Times New Roman"/>
          <w:sz w:val="32"/>
          <w:szCs w:val="32"/>
        </w:rPr>
        <w:t>”</w:t>
      </w:r>
      <w:r>
        <w:rPr>
          <w:rFonts w:ascii="Times New Roman" w:hAnsi="仿宋_GB2312" w:eastAsia="仿宋_GB2312" w:cs="Times New Roman"/>
          <w:sz w:val="32"/>
          <w:szCs w:val="32"/>
        </w:rPr>
        <w:t>、传统食养服务、健康养生服务等五大领域为重点，逐步构建链条完善、特色鲜明的大健康新医疗产业体系。依托滨海新区推进海洋生物医药、中药、医疗器械创新研发，着力推动陈皮产业转型升级，大力发展陈皮大健康产业。加快</w:t>
      </w:r>
      <w:r>
        <w:rPr>
          <w:rFonts w:hint="eastAsia" w:ascii="Times New Roman" w:hAnsi="仿宋_GB2312" w:eastAsia="仿宋_GB2312" w:cs="Times New Roman"/>
          <w:sz w:val="32"/>
          <w:szCs w:val="32"/>
        </w:rPr>
        <w:t>食品产业链延伸发展</w:t>
      </w:r>
      <w:r>
        <w:rPr>
          <w:rFonts w:ascii="Times New Roman" w:hAnsi="仿宋_GB2312" w:eastAsia="仿宋_GB2312" w:cs="Times New Roman"/>
          <w:sz w:val="32"/>
          <w:szCs w:val="32"/>
        </w:rPr>
        <w:t>，推动李锦记</w:t>
      </w:r>
      <w:r>
        <w:rPr>
          <w:rFonts w:hint="eastAsia" w:ascii="Times New Roman" w:hAnsi="仿宋_GB2312" w:eastAsia="仿宋_GB2312" w:cs="Times New Roman"/>
          <w:sz w:val="32"/>
          <w:szCs w:val="32"/>
          <w:lang w:eastAsia="zh-CN"/>
        </w:rPr>
        <w:t>、无限极</w:t>
      </w:r>
      <w:r>
        <w:rPr>
          <w:rFonts w:hint="eastAsia" w:ascii="Times New Roman" w:hAnsi="仿宋_GB2312" w:eastAsia="仿宋_GB2312" w:cs="Times New Roman"/>
          <w:sz w:val="32"/>
          <w:szCs w:val="32"/>
        </w:rPr>
        <w:t>做大做强。</w:t>
      </w:r>
      <w:r>
        <w:rPr>
          <w:rFonts w:ascii="Times New Roman" w:hAnsi="仿宋_GB2312" w:eastAsia="仿宋_GB2312" w:cs="Times New Roman"/>
          <w:sz w:val="32"/>
          <w:szCs w:val="32"/>
        </w:rPr>
        <w:t>加快中科健康项目建设，发挥生物医药创新团队示范带动作用，强化对接中科院，加快生物医药产业平台和健康医疗大数据中心建设。建设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互联网</w:t>
      </w:r>
      <w:r>
        <w:rPr>
          <w:rFonts w:ascii="Times New Roman" w:hAnsi="Times New Roman" w:eastAsia="仿宋_GB2312" w:cs="Times New Roman"/>
          <w:sz w:val="32"/>
          <w:szCs w:val="32"/>
        </w:rPr>
        <w:t>+</w:t>
      </w:r>
      <w:r>
        <w:rPr>
          <w:rFonts w:ascii="Times New Roman" w:hAnsi="仿宋_GB2312" w:eastAsia="仿宋_GB2312" w:cs="Times New Roman"/>
          <w:sz w:val="32"/>
          <w:szCs w:val="32"/>
        </w:rPr>
        <w:t>健康</w:t>
      </w:r>
      <w:r>
        <w:rPr>
          <w:rFonts w:ascii="Times New Roman" w:hAnsi="Times New Roman" w:eastAsia="仿宋_GB2312" w:cs="Times New Roman"/>
          <w:sz w:val="32"/>
          <w:szCs w:val="32"/>
        </w:rPr>
        <w:t>”</w:t>
      </w:r>
      <w:r>
        <w:rPr>
          <w:rFonts w:ascii="Times New Roman" w:hAnsi="仿宋_GB2312" w:eastAsia="仿宋_GB2312" w:cs="Times New Roman"/>
          <w:sz w:val="32"/>
          <w:szCs w:val="32"/>
        </w:rPr>
        <w:t>服务平台，引进港澳及海外健康产业资源，打造以健康服务为主题，融合商业购物、休闲娱乐、康养休闲、旅游度假等复合功能的高端健康服务基地。</w:t>
      </w:r>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打造珠江西岸新材料产业集群。</w:t>
      </w:r>
      <w:r>
        <w:rPr>
          <w:rFonts w:ascii="Times New Roman" w:hAnsi="仿宋_GB2312" w:eastAsia="仿宋_GB2312" w:cs="Times New Roman"/>
          <w:sz w:val="32"/>
          <w:szCs w:val="32"/>
        </w:rPr>
        <w:t>依托珠西新材料集聚区，重点发展新能源电池关键材料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石化</w:t>
      </w:r>
      <w:r>
        <w:rPr>
          <w:rFonts w:ascii="Times New Roman" w:hAnsi="Times New Roman" w:eastAsia="仿宋_GB2312" w:cs="Times New Roman"/>
          <w:sz w:val="32"/>
          <w:szCs w:val="32"/>
        </w:rPr>
        <w:t>新材料，加快培育</w:t>
      </w:r>
      <w:r>
        <w:rPr>
          <w:rFonts w:hint="eastAsia" w:ascii="Times New Roman" w:hAnsi="Times New Roman" w:eastAsia="仿宋_GB2312" w:cs="Times New Roman"/>
          <w:sz w:val="32"/>
          <w:szCs w:val="32"/>
        </w:rPr>
        <w:t>电子产业等</w:t>
      </w:r>
      <w:r>
        <w:rPr>
          <w:rFonts w:ascii="Times New Roman" w:hAnsi="Times New Roman" w:eastAsia="仿宋_GB2312" w:cs="Times New Roman"/>
          <w:sz w:val="32"/>
          <w:szCs w:val="32"/>
        </w:rPr>
        <w:t>前沿</w:t>
      </w:r>
      <w:r>
        <w:rPr>
          <w:rFonts w:ascii="Times New Roman" w:hAnsi="仿宋_GB2312" w:eastAsia="仿宋_GB2312" w:cs="Times New Roman"/>
          <w:sz w:val="32"/>
          <w:szCs w:val="32"/>
        </w:rPr>
        <w:t>新材料，打造沿海新材料产业基地。全面落实珠西新材料集聚区谋划扩园工作，推动存量企业转型升级，着力引入一批新材料行业细分龙头和</w:t>
      </w:r>
      <w:r>
        <w:rPr>
          <w:rFonts w:ascii="Times New Roman" w:hAnsi="Times New Roman" w:eastAsia="仿宋_GB2312" w:cs="Times New Roman"/>
          <w:sz w:val="32"/>
          <w:szCs w:val="32"/>
        </w:rPr>
        <w:t>“</w:t>
      </w:r>
      <w:r>
        <w:rPr>
          <w:rFonts w:ascii="Times New Roman" w:hAnsi="仿宋_GB2312" w:eastAsia="仿宋_GB2312" w:cs="Times New Roman"/>
          <w:sz w:val="32"/>
          <w:szCs w:val="32"/>
        </w:rPr>
        <w:t>链主企业</w:t>
      </w:r>
      <w:r>
        <w:rPr>
          <w:rFonts w:ascii="Times New Roman" w:hAnsi="Times New Roman" w:eastAsia="仿宋_GB2312" w:cs="Times New Roman"/>
          <w:sz w:val="32"/>
          <w:szCs w:val="32"/>
        </w:rPr>
        <w:t>”</w:t>
      </w:r>
      <w:r>
        <w:rPr>
          <w:rFonts w:ascii="Times New Roman" w:hAnsi="仿宋_GB2312" w:eastAsia="仿宋_GB2312" w:cs="Times New Roman"/>
          <w:sz w:val="32"/>
          <w:szCs w:val="32"/>
        </w:rPr>
        <w:t>，加快打造新材料发展高地。</w:t>
      </w:r>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打造梯次发展</w:t>
      </w:r>
      <w:r>
        <w:rPr>
          <w:rFonts w:hint="eastAsia" w:ascii="Times New Roman" w:hAnsi="仿宋_GB2312" w:eastAsia="仿宋_GB2312" w:cs="Times New Roman"/>
          <w:b/>
          <w:sz w:val="32"/>
          <w:szCs w:val="32"/>
        </w:rPr>
        <w:t>高端装备</w:t>
      </w:r>
      <w:r>
        <w:rPr>
          <w:rFonts w:ascii="Times New Roman" w:hAnsi="仿宋_GB2312" w:eastAsia="仿宋_GB2312" w:cs="Times New Roman"/>
          <w:b/>
          <w:sz w:val="32"/>
          <w:szCs w:val="32"/>
        </w:rPr>
        <w:t>制造业集群。</w:t>
      </w:r>
      <w:r>
        <w:rPr>
          <w:rFonts w:ascii="Times New Roman" w:hAnsi="仿宋_GB2312" w:eastAsia="仿宋_GB2312" w:cs="Times New Roman"/>
          <w:sz w:val="32"/>
          <w:szCs w:val="32"/>
        </w:rPr>
        <w:t>重点发展轨道交通、</w:t>
      </w:r>
      <w:r>
        <w:rPr>
          <w:rFonts w:hint="eastAsia" w:ascii="Times New Roman" w:hAnsi="仿宋_GB2312" w:eastAsia="仿宋_GB2312" w:cs="Times New Roman"/>
          <w:sz w:val="32"/>
          <w:szCs w:val="32"/>
        </w:rPr>
        <w:t>智能装备、</w:t>
      </w:r>
      <w:r>
        <w:rPr>
          <w:rFonts w:ascii="Times New Roman" w:hAnsi="仿宋_GB2312" w:eastAsia="仿宋_GB2312" w:cs="Times New Roman"/>
          <w:sz w:val="32"/>
          <w:szCs w:val="32"/>
        </w:rPr>
        <w:t>船舶与海洋工程</w:t>
      </w:r>
      <w:r>
        <w:rPr>
          <w:rFonts w:hint="eastAsia" w:ascii="Times New Roman" w:hAnsi="仿宋_GB2312" w:eastAsia="仿宋_GB2312" w:cs="Times New Roman"/>
          <w:sz w:val="32"/>
          <w:szCs w:val="32"/>
        </w:rPr>
        <w:t>装备</w:t>
      </w:r>
      <w:r>
        <w:rPr>
          <w:rFonts w:ascii="Times New Roman" w:hAnsi="仿宋_GB2312" w:eastAsia="仿宋_GB2312" w:cs="Times New Roman"/>
          <w:sz w:val="32"/>
          <w:szCs w:val="32"/>
        </w:rPr>
        <w:t>三大高端装备制造业，力争成为沿海经济带高端装备制造重要基地。推动广东轨道交通产业园承载扩容，以中车广东公司为龙头，大力发展轨道交通装备及其关键系统零部件，提升装备自主化能力，打造华南轨道交通产业基地。密切跟踪广州、佛山等重点装备制造领域发展动态，实现错位协同发展，在智能制造装备、新能源装备、智能物流装备以及医疗设备等领域重点发展符合自身优势、产业基础良好的零部件产业，为广佛机械装备提供高水平配套。</w:t>
      </w:r>
    </w:p>
    <w:tbl>
      <w:tblPr>
        <w:tblStyle w:val="17"/>
        <w:tblW w:w="8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6" w:hRule="atLeast"/>
          <w:tblHeader/>
          <w:jc w:val="center"/>
        </w:trPr>
        <w:tc>
          <w:tcPr>
            <w:tcW w:w="8560" w:type="dxa"/>
            <w:vAlign w:val="center"/>
          </w:tcPr>
          <w:p>
            <w:pPr>
              <w:pBdr>
                <w:top w:val="none" w:color="auto" w:sz="0" w:space="0"/>
                <w:left w:val="none" w:color="auto" w:sz="0" w:space="0"/>
                <w:bottom w:val="none" w:color="auto" w:sz="0" w:space="0"/>
                <w:right w:val="none" w:color="auto" w:sz="0" w:space="0"/>
              </w:pBdr>
              <w:adjustRightInd/>
              <w:spacing w:line="400" w:lineRule="exact"/>
              <w:ind w:firstLine="0"/>
              <w:jc w:val="center"/>
              <w:rPr>
                <w:rFonts w:ascii="Times New Roman" w:hAnsi="Times New Roman" w:eastAsia="黑体" w:cs="Times New Roman"/>
                <w:bCs/>
                <w:szCs w:val="28"/>
              </w:rPr>
            </w:pPr>
            <w:r>
              <w:rPr>
                <w:rFonts w:ascii="Times New Roman" w:hAnsi="Times New Roman" w:eastAsia="黑体" w:cs="Times New Roman"/>
                <w:szCs w:val="28"/>
              </w:rPr>
              <w:t>专栏：三大产业集群发展方向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6" w:hRule="atLeast"/>
          <w:jc w:val="center"/>
        </w:trPr>
        <w:tc>
          <w:tcPr>
            <w:tcW w:w="8560" w:type="dxa"/>
            <w:vAlign w:val="center"/>
          </w:tcPr>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bCs/>
                <w:szCs w:val="28"/>
              </w:rPr>
            </w:pPr>
            <w:r>
              <w:rPr>
                <w:rFonts w:ascii="Times New Roman" w:hAnsi="Times New Roman" w:eastAsia="楷体" w:cs="Times New Roman"/>
                <w:b/>
                <w:bCs/>
                <w:szCs w:val="28"/>
              </w:rPr>
              <w:t>一、大健康产业集群</w:t>
            </w:r>
          </w:p>
          <w:p>
            <w:pPr>
              <w:pBdr>
                <w:top w:val="none" w:color="auto" w:sz="0" w:space="0"/>
                <w:left w:val="none" w:color="auto" w:sz="0" w:space="0"/>
                <w:bottom w:val="none" w:color="auto" w:sz="0" w:space="0"/>
                <w:right w:val="none" w:color="auto" w:sz="0" w:space="0"/>
              </w:pBdr>
              <w:adjustRightInd/>
              <w:spacing w:line="400" w:lineRule="exact"/>
              <w:ind w:firstLine="560" w:firstLineChars="200"/>
              <w:jc w:val="both"/>
              <w:rPr>
                <w:rFonts w:hint="eastAsia" w:ascii="Times New Roman" w:hAnsi="Times New Roman" w:eastAsia="楷体" w:cs="Times New Roman"/>
                <w:bCs/>
                <w:szCs w:val="28"/>
                <w:lang w:eastAsia="zh-CN"/>
              </w:rPr>
            </w:pPr>
            <w:r>
              <w:rPr>
                <w:rFonts w:ascii="Times New Roman" w:hAnsi="Times New Roman" w:eastAsia="楷体" w:cs="Times New Roman"/>
                <w:bCs/>
                <w:szCs w:val="28"/>
              </w:rPr>
              <w:t>重点发展</w:t>
            </w:r>
            <w:r>
              <w:rPr>
                <w:rFonts w:hint="eastAsia" w:ascii="Times New Roman" w:hAnsi="Times New Roman" w:eastAsia="楷体" w:cs="Times New Roman"/>
                <w:bCs/>
                <w:szCs w:val="28"/>
                <w:lang w:eastAsia="zh-CN"/>
              </w:rPr>
              <w:t>“健康服务、健康研发、健康生产”一体化的大健康产业发展体系。加快</w:t>
            </w:r>
            <w:r>
              <w:rPr>
                <w:rFonts w:ascii="Times New Roman" w:hAnsi="Times New Roman" w:eastAsia="楷体" w:cs="Times New Roman"/>
                <w:szCs w:val="28"/>
              </w:rPr>
              <w:t>营养保健品</w:t>
            </w:r>
            <w:r>
              <w:rPr>
                <w:rFonts w:hint="eastAsia" w:ascii="Times New Roman" w:hAnsi="Times New Roman" w:eastAsia="楷体" w:cs="Times New Roman"/>
                <w:szCs w:val="28"/>
              </w:rPr>
              <w:t>、陈皮特色产品</w:t>
            </w:r>
            <w:r>
              <w:rPr>
                <w:rFonts w:hint="eastAsia" w:ascii="Times New Roman" w:hAnsi="Times New Roman" w:eastAsia="楷体" w:cs="Times New Roman"/>
                <w:szCs w:val="28"/>
                <w:lang w:eastAsia="zh-CN"/>
              </w:rPr>
              <w:t>、健康</w:t>
            </w:r>
            <w:r>
              <w:rPr>
                <w:rFonts w:ascii="Times New Roman" w:hAnsi="Times New Roman" w:eastAsia="楷体" w:cs="Times New Roman"/>
                <w:szCs w:val="28"/>
              </w:rPr>
              <w:t>绿色食品</w:t>
            </w:r>
            <w:r>
              <w:rPr>
                <w:rFonts w:hint="eastAsia" w:ascii="Times New Roman" w:hAnsi="Times New Roman" w:eastAsia="楷体" w:cs="Times New Roman"/>
                <w:szCs w:val="28"/>
                <w:lang w:eastAsia="zh-CN"/>
              </w:rPr>
              <w:t>的研发应用和产业化发展，支持澳新食品、大冢慎昌、高迪食品等研制绿色健康功能性食品饮料产品。</w:t>
            </w:r>
            <w:r>
              <w:rPr>
                <w:rFonts w:ascii="Times New Roman" w:hAnsi="Times New Roman" w:eastAsia="楷体" w:cs="Times New Roman"/>
                <w:bCs/>
                <w:szCs w:val="28"/>
              </w:rPr>
              <w:t>充分发挥岭南地区食养文化传统，结合当地中医药特色优势，推动健康管理、康复疗养、中医养生、药膳食疗、体育健身等健康服务业发展。积极</w:t>
            </w:r>
            <w:r>
              <w:rPr>
                <w:rFonts w:hint="eastAsia" w:ascii="Times New Roman" w:hAnsi="Times New Roman" w:eastAsia="楷体" w:cs="Times New Roman"/>
                <w:bCs/>
                <w:szCs w:val="28"/>
                <w:lang w:eastAsia="zh-CN"/>
              </w:rPr>
              <w:t>开拓</w:t>
            </w:r>
            <w:r>
              <w:rPr>
                <w:rFonts w:ascii="Times New Roman" w:hAnsi="Times New Roman" w:eastAsia="楷体" w:cs="Times New Roman"/>
                <w:bCs/>
                <w:szCs w:val="28"/>
              </w:rPr>
              <w:t>抗体</w:t>
            </w:r>
            <w:r>
              <w:rPr>
                <w:rFonts w:hint="eastAsia" w:ascii="Times New Roman" w:hAnsi="Times New Roman" w:eastAsia="楷体" w:cs="Times New Roman"/>
                <w:bCs/>
                <w:szCs w:val="28"/>
                <w:lang w:eastAsia="zh-CN"/>
              </w:rPr>
              <w:t>医药</w:t>
            </w:r>
            <w:r>
              <w:rPr>
                <w:rFonts w:ascii="Times New Roman" w:hAnsi="Times New Roman" w:eastAsia="楷体" w:cs="Times New Roman"/>
                <w:bCs/>
                <w:szCs w:val="28"/>
              </w:rPr>
              <w:t>、基因</w:t>
            </w:r>
            <w:r>
              <w:rPr>
                <w:rFonts w:hint="eastAsia" w:ascii="Times New Roman" w:hAnsi="Times New Roman" w:eastAsia="楷体" w:cs="Times New Roman"/>
                <w:bCs/>
                <w:szCs w:val="28"/>
                <w:lang w:eastAsia="zh-CN"/>
              </w:rPr>
              <w:t>治疗</w:t>
            </w:r>
            <w:r>
              <w:rPr>
                <w:rFonts w:ascii="Times New Roman" w:hAnsi="Times New Roman" w:eastAsia="楷体" w:cs="Times New Roman"/>
                <w:bCs/>
                <w:szCs w:val="28"/>
              </w:rPr>
              <w:t>等新</w:t>
            </w:r>
            <w:r>
              <w:rPr>
                <w:rFonts w:hint="eastAsia" w:ascii="Times New Roman" w:hAnsi="Times New Roman" w:eastAsia="楷体" w:cs="Times New Roman"/>
                <w:bCs/>
                <w:szCs w:val="28"/>
                <w:lang w:eastAsia="zh-CN"/>
              </w:rPr>
              <w:t>领域，积极引进生物制药龙头企业和高精尖企业</w:t>
            </w:r>
            <w:r>
              <w:rPr>
                <w:rFonts w:ascii="Times New Roman" w:hAnsi="Times New Roman" w:eastAsia="楷体" w:cs="Times New Roman"/>
                <w:bCs/>
                <w:szCs w:val="28"/>
              </w:rPr>
              <w:t>。</w:t>
            </w:r>
            <w:r>
              <w:rPr>
                <w:rFonts w:hint="eastAsia" w:ascii="Times New Roman" w:hAnsi="Times New Roman" w:eastAsia="楷体" w:cs="Times New Roman"/>
                <w:bCs/>
                <w:szCs w:val="28"/>
                <w:lang w:eastAsia="zh-CN"/>
              </w:rPr>
              <w:t>推进海洋生物医药发展，谋划建设专业园区。</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bCs/>
                <w:szCs w:val="28"/>
              </w:rPr>
            </w:pPr>
            <w:r>
              <w:rPr>
                <w:rFonts w:ascii="Times New Roman" w:hAnsi="Times New Roman" w:eastAsia="楷体" w:cs="Times New Roman"/>
                <w:b/>
                <w:bCs/>
                <w:szCs w:val="28"/>
              </w:rPr>
              <w:t>二、新材料产业集群</w:t>
            </w:r>
          </w:p>
          <w:p>
            <w:pPr>
              <w:pBdr>
                <w:top w:val="none" w:color="auto" w:sz="0" w:space="0"/>
                <w:left w:val="none" w:color="auto" w:sz="0" w:space="0"/>
                <w:bottom w:val="none" w:color="auto" w:sz="0" w:space="0"/>
                <w:right w:val="none" w:color="auto" w:sz="0" w:space="0"/>
              </w:pBdr>
              <w:adjustRightInd/>
              <w:spacing w:line="400" w:lineRule="exact"/>
              <w:ind w:firstLine="560" w:firstLineChars="200"/>
              <w:jc w:val="both"/>
              <w:rPr>
                <w:rFonts w:hint="eastAsia" w:ascii="Times New Roman" w:hAnsi="Times New Roman" w:eastAsia="楷体" w:cs="Times New Roman"/>
                <w:szCs w:val="28"/>
                <w:lang w:eastAsia="zh-CN"/>
              </w:rPr>
            </w:pPr>
            <w:r>
              <w:rPr>
                <w:rFonts w:ascii="Times New Roman" w:hAnsi="Times New Roman" w:eastAsia="楷体" w:cs="Times New Roman"/>
                <w:bCs/>
                <w:szCs w:val="28"/>
              </w:rPr>
              <w:t>重点发展</w:t>
            </w:r>
            <w:r>
              <w:rPr>
                <w:rFonts w:hint="eastAsia" w:ascii="Times New Roman" w:hAnsi="Times New Roman" w:eastAsia="楷体" w:cs="Times New Roman"/>
                <w:bCs/>
                <w:szCs w:val="28"/>
                <w:lang w:eastAsia="zh-CN"/>
              </w:rPr>
              <w:t>以</w:t>
            </w:r>
            <w:r>
              <w:rPr>
                <w:rFonts w:ascii="Times New Roman" w:hAnsi="Times New Roman" w:eastAsia="楷体" w:cs="Times New Roman"/>
                <w:bCs/>
                <w:szCs w:val="28"/>
              </w:rPr>
              <w:t>新能源电池</w:t>
            </w:r>
            <w:r>
              <w:rPr>
                <w:rFonts w:hint="eastAsia" w:ascii="Times New Roman" w:hAnsi="Times New Roman" w:eastAsia="楷体" w:cs="Times New Roman"/>
                <w:bCs/>
                <w:szCs w:val="28"/>
                <w:lang w:eastAsia="zh-CN"/>
              </w:rPr>
              <w:t>为主导，</w:t>
            </w:r>
            <w:r>
              <w:rPr>
                <w:rFonts w:ascii="Times New Roman" w:hAnsi="Times New Roman" w:eastAsia="楷体" w:cs="Times New Roman"/>
                <w:szCs w:val="28"/>
              </w:rPr>
              <w:t>石化</w:t>
            </w:r>
            <w:r>
              <w:rPr>
                <w:rFonts w:hint="eastAsia" w:ascii="Times New Roman" w:hAnsi="Times New Roman" w:eastAsia="楷体" w:cs="Times New Roman"/>
                <w:szCs w:val="28"/>
                <w:lang w:eastAsia="zh-CN"/>
              </w:rPr>
              <w:t>新</w:t>
            </w:r>
            <w:r>
              <w:rPr>
                <w:rFonts w:ascii="Times New Roman" w:hAnsi="Times New Roman" w:eastAsia="楷体" w:cs="Times New Roman"/>
                <w:szCs w:val="28"/>
              </w:rPr>
              <w:t>材料、</w:t>
            </w:r>
            <w:r>
              <w:rPr>
                <w:rFonts w:hint="eastAsia" w:ascii="Times New Roman" w:hAnsi="Times New Roman" w:eastAsia="楷体" w:cs="Times New Roman"/>
                <w:szCs w:val="28"/>
                <w:lang w:eastAsia="zh-CN"/>
              </w:rPr>
              <w:t>现代建筑</w:t>
            </w:r>
            <w:r>
              <w:rPr>
                <w:rFonts w:ascii="Times New Roman" w:hAnsi="Times New Roman" w:eastAsia="楷体" w:cs="Times New Roman"/>
                <w:szCs w:val="28"/>
              </w:rPr>
              <w:t>材料</w:t>
            </w:r>
            <w:r>
              <w:rPr>
                <w:rFonts w:hint="eastAsia" w:ascii="Times New Roman" w:hAnsi="Times New Roman" w:eastAsia="楷体" w:cs="Times New Roman"/>
                <w:szCs w:val="28"/>
                <w:lang w:eastAsia="zh-CN"/>
              </w:rPr>
              <w:t>为增长点的产业发展格局。</w:t>
            </w:r>
            <w:r>
              <w:rPr>
                <w:rFonts w:ascii="Times New Roman" w:hAnsi="Times New Roman" w:eastAsia="楷体" w:cs="Times New Roman"/>
                <w:szCs w:val="28"/>
              </w:rPr>
              <w:t>以芳源</w:t>
            </w:r>
            <w:r>
              <w:rPr>
                <w:rFonts w:hint="eastAsia" w:ascii="Times New Roman" w:hAnsi="Times New Roman" w:eastAsia="楷体" w:cs="Times New Roman"/>
                <w:szCs w:val="28"/>
                <w:lang w:eastAsia="zh-CN"/>
              </w:rPr>
              <w:t>环保</w:t>
            </w:r>
            <w:r>
              <w:rPr>
                <w:rFonts w:ascii="Times New Roman" w:hAnsi="Times New Roman" w:eastAsia="楷体" w:cs="Times New Roman"/>
                <w:szCs w:val="28"/>
              </w:rPr>
              <w:t>为龙头，重点发展电极材料、隔膜、电解液等新能源汽车电池关键新材料，</w:t>
            </w:r>
            <w:r>
              <w:rPr>
                <w:rFonts w:hint="eastAsia" w:ascii="Times New Roman" w:hAnsi="Times New Roman" w:eastAsia="楷体" w:cs="Times New Roman"/>
                <w:szCs w:val="28"/>
                <w:lang w:eastAsia="zh-CN"/>
              </w:rPr>
              <w:t>推进企业技术创新、产能或张和市场份额提升</w:t>
            </w:r>
            <w:r>
              <w:rPr>
                <w:rFonts w:ascii="Times New Roman" w:hAnsi="Times New Roman" w:eastAsia="楷体" w:cs="Times New Roman"/>
                <w:szCs w:val="28"/>
              </w:rPr>
              <w:t>。</w:t>
            </w:r>
            <w:r>
              <w:rPr>
                <w:rFonts w:hint="eastAsia" w:ascii="Times New Roman" w:hAnsi="Times New Roman" w:eastAsia="楷体" w:cs="Times New Roman"/>
                <w:szCs w:val="28"/>
                <w:lang w:eastAsia="zh-CN"/>
              </w:rPr>
              <w:t>以美达锦纶为龙头，</w:t>
            </w:r>
            <w:r>
              <w:rPr>
                <w:rFonts w:ascii="Times New Roman" w:hAnsi="Times New Roman" w:eastAsia="楷体" w:cs="Times New Roman"/>
                <w:szCs w:val="28"/>
              </w:rPr>
              <w:t>重点发展</w:t>
            </w:r>
            <w:r>
              <w:rPr>
                <w:rFonts w:hint="eastAsia" w:ascii="Times New Roman" w:hAnsi="Times New Roman" w:eastAsia="楷体" w:cs="Times New Roman"/>
                <w:szCs w:val="28"/>
                <w:lang w:eastAsia="zh-CN"/>
              </w:rPr>
              <w:t>现金合成纤维、功能涂料油墨、高性能复合物材料等产品。加大对电子产业新材料项目的引进，促进高技术领域和相关行业融合发展。依托海螺水泥为龙头，发展新型建材，补强保温材料、隔音材料、环保材料等新型建材产业链，发展绿色环保装饰材料。</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bCs/>
                <w:szCs w:val="28"/>
              </w:rPr>
            </w:pPr>
            <w:r>
              <w:rPr>
                <w:rFonts w:ascii="Times New Roman" w:hAnsi="Times New Roman" w:eastAsia="楷体" w:cs="Times New Roman"/>
                <w:b/>
                <w:bCs/>
                <w:szCs w:val="28"/>
              </w:rPr>
              <w:t>三、</w:t>
            </w:r>
            <w:r>
              <w:rPr>
                <w:rFonts w:hint="eastAsia" w:ascii="Times New Roman" w:hAnsi="Times New Roman" w:eastAsia="楷体" w:cs="Times New Roman"/>
                <w:b/>
                <w:bCs/>
                <w:szCs w:val="28"/>
              </w:rPr>
              <w:t>高端装备</w:t>
            </w:r>
            <w:r>
              <w:rPr>
                <w:rFonts w:ascii="Times New Roman" w:hAnsi="Times New Roman" w:eastAsia="楷体" w:cs="Times New Roman"/>
                <w:b/>
                <w:bCs/>
                <w:szCs w:val="28"/>
              </w:rPr>
              <w:t>制造集群</w:t>
            </w:r>
          </w:p>
          <w:p>
            <w:pPr>
              <w:pBdr>
                <w:top w:val="none" w:color="auto" w:sz="0" w:space="0"/>
                <w:left w:val="none" w:color="auto" w:sz="0" w:space="0"/>
                <w:bottom w:val="none" w:color="auto" w:sz="0" w:space="0"/>
                <w:right w:val="none" w:color="auto" w:sz="0" w:space="0"/>
              </w:pBdr>
              <w:adjustRightInd/>
              <w:spacing w:line="400" w:lineRule="exact"/>
              <w:ind w:firstLine="560" w:firstLineChars="200"/>
              <w:jc w:val="both"/>
              <w:rPr>
                <w:rFonts w:ascii="Times New Roman" w:hAnsi="Times New Roman" w:eastAsia="楷体" w:cs="Times New Roman"/>
                <w:bCs/>
                <w:szCs w:val="28"/>
              </w:rPr>
            </w:pPr>
            <w:r>
              <w:rPr>
                <w:rFonts w:ascii="Times New Roman" w:hAnsi="Times New Roman" w:eastAsia="楷体" w:cs="Times New Roman"/>
                <w:bCs/>
                <w:szCs w:val="28"/>
                <w:highlight w:val="none"/>
              </w:rPr>
              <w:t>重点</w:t>
            </w:r>
            <w:r>
              <w:rPr>
                <w:rFonts w:hint="eastAsia" w:ascii="Times New Roman" w:hAnsi="Times New Roman" w:eastAsia="楷体" w:cs="Times New Roman"/>
                <w:bCs/>
                <w:szCs w:val="28"/>
                <w:highlight w:val="none"/>
                <w:lang w:eastAsia="zh-CN"/>
              </w:rPr>
              <w:t>支持中车广东发展成为全国唯一</w:t>
            </w:r>
            <w:r>
              <w:rPr>
                <w:rFonts w:hint="eastAsia" w:ascii="Times New Roman" w:hAnsi="Times New Roman" w:eastAsia="楷体" w:cs="Times New Roman"/>
                <w:bCs/>
                <w:szCs w:val="28"/>
                <w:highlight w:val="none"/>
                <w:lang w:val="en-US" w:eastAsia="zh-CN"/>
              </w:rPr>
              <w:t>CRH6城际动车组生产及粤港澳大湾区城际列车造修基地。</w:t>
            </w:r>
            <w:r>
              <w:rPr>
                <w:rFonts w:hint="eastAsia" w:ascii="Times New Roman" w:hAnsi="Times New Roman" w:eastAsia="楷体" w:cs="Times New Roman"/>
                <w:bCs/>
                <w:szCs w:val="28"/>
                <w:highlight w:val="none"/>
                <w:lang w:eastAsia="zh-CN"/>
              </w:rPr>
              <w:t>围绕牵引供电系统、即便系统、制动系统、车门车窗风挡、钩缓装置等领域。依托</w:t>
            </w:r>
            <w:r>
              <w:rPr>
                <w:rFonts w:hint="eastAsia" w:ascii="Times New Roman" w:hAnsi="Times New Roman" w:eastAsia="楷体" w:cs="Times New Roman"/>
                <w:bCs/>
                <w:szCs w:val="28"/>
                <w:highlight w:val="none"/>
                <w:lang w:val="en-US" w:eastAsia="zh-CN"/>
              </w:rPr>
              <w:t>ABB、住重福惠动力等项目，着力提升精密仪器、传感器、智能专用装备等发展水平，培育发展制造领域智能化及关键零部件成套加工装备。壮大南洋船舶、中交四航等企业，引进动力设备、船用电子等核心船用部件配套供应商，开拓特种船领域，促进船舶无害化拆解、材料及设备深加工以及循环再利用。主动融入珠三角的海洋工程装备产业发展体系，打造华南地区中小船舶与海工装备生产基地。</w:t>
            </w:r>
          </w:p>
        </w:tc>
      </w:tr>
    </w:tbl>
    <w:p>
      <w:pPr>
        <w:pStyle w:val="3"/>
        <w:spacing w:line="560" w:lineRule="exact"/>
        <w:jc w:val="center"/>
        <w:rPr>
          <w:rFonts w:ascii="Times New Roman" w:hAnsi="Times New Roman" w:eastAsia="楷体_GB2312"/>
          <w:b w:val="0"/>
        </w:rPr>
      </w:pPr>
      <w:bookmarkStart w:id="77" w:name="_Toc30578"/>
      <w:bookmarkStart w:id="78" w:name="_Toc7869"/>
      <w:bookmarkStart w:id="79" w:name="_Toc60738020"/>
      <w:bookmarkStart w:id="80" w:name="_Toc15556"/>
      <w:bookmarkStart w:id="81" w:name="_Toc61946322"/>
      <w:r>
        <w:rPr>
          <w:rFonts w:ascii="Times New Roman" w:hAnsi="Times New Roman" w:eastAsia="楷体_GB2312"/>
          <w:b w:val="0"/>
        </w:rPr>
        <w:t>第二节 持续推进传统产业转型升级</w:t>
      </w:r>
      <w:bookmarkEnd w:id="77"/>
      <w:bookmarkEnd w:id="78"/>
      <w:bookmarkEnd w:id="79"/>
      <w:bookmarkEnd w:id="80"/>
      <w:bookmarkEnd w:id="81"/>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实施新一轮技术改造。</w:t>
      </w:r>
      <w:r>
        <w:rPr>
          <w:rFonts w:ascii="Times New Roman" w:hAnsi="仿宋_GB2312" w:eastAsia="仿宋_GB2312" w:cs="Times New Roman"/>
          <w:sz w:val="32"/>
          <w:szCs w:val="32"/>
          <w:highlight w:val="none"/>
        </w:rPr>
        <w:t>推动</w:t>
      </w:r>
      <w:r>
        <w:rPr>
          <w:rFonts w:hint="eastAsia" w:ascii="Times New Roman" w:hAnsi="仿宋_GB2312" w:eastAsia="仿宋_GB2312" w:cs="Times New Roman"/>
          <w:sz w:val="32"/>
          <w:szCs w:val="32"/>
          <w:highlight w:val="none"/>
        </w:rPr>
        <w:t>纸及纸制品</w:t>
      </w:r>
      <w:r>
        <w:rPr>
          <w:rFonts w:ascii="Times New Roman" w:hAnsi="仿宋_GB2312" w:eastAsia="仿宋_GB2312" w:cs="Times New Roman"/>
          <w:sz w:val="32"/>
          <w:szCs w:val="32"/>
          <w:highlight w:val="none"/>
        </w:rPr>
        <w:t>、金属制品、</w:t>
      </w:r>
      <w:r>
        <w:rPr>
          <w:rFonts w:hint="eastAsia" w:ascii="Times New Roman" w:hAnsi="仿宋_GB2312" w:eastAsia="仿宋_GB2312" w:cs="Times New Roman"/>
          <w:sz w:val="32"/>
          <w:szCs w:val="32"/>
          <w:highlight w:val="none"/>
          <w:lang w:eastAsia="zh-CN"/>
        </w:rPr>
        <w:t>新能源汽车及零部件</w:t>
      </w:r>
      <w:r>
        <w:rPr>
          <w:rFonts w:ascii="Times New Roman" w:hAnsi="仿宋_GB2312" w:eastAsia="仿宋_GB2312" w:cs="Times New Roman"/>
          <w:sz w:val="32"/>
          <w:szCs w:val="32"/>
          <w:highlight w:val="none"/>
        </w:rPr>
        <w:t>等传统优势产业新一轮技术改造。实现</w:t>
      </w:r>
      <w:r>
        <w:rPr>
          <w:rFonts w:ascii="Times New Roman" w:hAnsi="Times New Roman" w:eastAsia="仿宋_GB2312" w:cs="Times New Roman"/>
          <w:sz w:val="32"/>
          <w:szCs w:val="32"/>
          <w:highlight w:val="none"/>
        </w:rPr>
        <w:t>“</w:t>
      </w:r>
      <w:r>
        <w:rPr>
          <w:rFonts w:ascii="Times New Roman" w:hAnsi="仿宋_GB2312" w:eastAsia="仿宋_GB2312" w:cs="Times New Roman"/>
          <w:sz w:val="32"/>
          <w:szCs w:val="32"/>
          <w:highlight w:val="none"/>
        </w:rPr>
        <w:t>十四五</w:t>
      </w:r>
      <w:r>
        <w:rPr>
          <w:rFonts w:ascii="Times New Roman" w:hAnsi="Times New Roman" w:eastAsia="仿宋_GB2312" w:cs="Times New Roman"/>
          <w:sz w:val="32"/>
          <w:szCs w:val="32"/>
          <w:highlight w:val="none"/>
        </w:rPr>
        <w:t>”</w:t>
      </w:r>
      <w:r>
        <w:rPr>
          <w:rFonts w:ascii="Times New Roman" w:hAnsi="仿宋_GB2312" w:eastAsia="仿宋_GB2312" w:cs="Times New Roman"/>
          <w:sz w:val="32"/>
          <w:szCs w:val="32"/>
          <w:highlight w:val="none"/>
        </w:rPr>
        <w:t>时期工业技术改造投资年均增长</w:t>
      </w:r>
      <w:r>
        <w:rPr>
          <w:rFonts w:ascii="Times New Roman" w:hAnsi="Times New Roman" w:eastAsia="仿宋_GB2312" w:cs="Times New Roman"/>
          <w:sz w:val="32"/>
          <w:szCs w:val="32"/>
          <w:highlight w:val="none"/>
        </w:rPr>
        <w:t>15%</w:t>
      </w:r>
      <w:r>
        <w:rPr>
          <w:rFonts w:ascii="Times New Roman" w:hAnsi="仿宋_GB2312" w:eastAsia="仿宋_GB2312" w:cs="Times New Roman"/>
          <w:sz w:val="32"/>
          <w:szCs w:val="32"/>
          <w:highlight w:val="none"/>
        </w:rPr>
        <w:t>，累计完成工</w:t>
      </w:r>
      <w:r>
        <w:rPr>
          <w:rFonts w:ascii="Times New Roman" w:hAnsi="仿宋_GB2312" w:eastAsia="仿宋_GB2312" w:cs="Times New Roman"/>
          <w:sz w:val="32"/>
          <w:szCs w:val="32"/>
        </w:rPr>
        <w:t>业技术改造投资</w:t>
      </w:r>
      <w:r>
        <w:rPr>
          <w:rFonts w:ascii="Times New Roman" w:hAnsi="Times New Roman" w:eastAsia="仿宋_GB2312" w:cs="Times New Roman"/>
          <w:sz w:val="32"/>
          <w:szCs w:val="32"/>
        </w:rPr>
        <w:t>400</w:t>
      </w:r>
      <w:r>
        <w:rPr>
          <w:rFonts w:ascii="Times New Roman" w:hAnsi="仿宋_GB2312" w:eastAsia="仿宋_GB2312" w:cs="Times New Roman"/>
          <w:sz w:val="32"/>
          <w:szCs w:val="32"/>
        </w:rPr>
        <w:t>亿元。鼓励以股权投资、贷款贴息、事后奖补等方式，支持企业对符合产业政策、市场前景好、经济效益优的项目增加投资，引导企业重点投向优质技术改造项目，扩大生产规模。鼓励企业按照国内外先进标准改造提升现有产品，加快产品升级换代。加大用地、财税政策支持，推动企业对产业链中的关键领域、薄弱环节和共性问题等进行整体技术改造，推广共性适用技术，带动产业集聚发展。</w:t>
      </w:r>
      <w:r>
        <w:rPr>
          <w:rFonts w:ascii="Times New Roman" w:hAnsi="Times New Roman" w:eastAsia="仿宋_GB2312" w:cs="Times New Roman"/>
          <w:sz w:val="32"/>
          <w:szCs w:val="32"/>
        </w:rPr>
        <w:t>围绕“规范管理、转型提档”，开展四大传统特色产业“个转企、小升规”行动，培育一批行业品牌龙头企业和多个</w:t>
      </w:r>
      <w:r>
        <w:rPr>
          <w:rFonts w:ascii="Times New Roman" w:hAnsi="仿宋_GB2312" w:eastAsia="仿宋_GB2312" w:cs="Times New Roman"/>
          <w:sz w:val="32"/>
          <w:szCs w:val="32"/>
        </w:rPr>
        <w:t>具有省内影响力的优势传统制造业集群。</w:t>
      </w:r>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提升产业链发展水平。</w:t>
      </w:r>
      <w:r>
        <w:rPr>
          <w:rFonts w:ascii="Times New Roman" w:hAnsi="Times New Roman" w:eastAsia="仿宋_GB2312" w:cs="Times New Roman"/>
          <w:sz w:val="32"/>
          <w:szCs w:val="32"/>
        </w:rPr>
        <w:t>坚持外引和内培，培育一批强链延链、建链补链的“链主企业”，重点培育壮大亚太、芳源、中车等一批高质量、高水平的龙头企业，逐步打造形成一批50亿、100亿级的骨干龙头企业，提升产业发展的核心竞争力。引育一批产业链上下游“专精特新”中小微企业，形成本地大、中、小、微齐头并进的企业集群，在产供销、要素配置等方面建立协同发展机制，带动延伸产业链。</w:t>
      </w:r>
      <w:r>
        <w:rPr>
          <w:rFonts w:ascii="Times New Roman" w:hAnsi="仿宋_GB2312" w:eastAsia="仿宋_GB2312" w:cs="Times New Roman"/>
          <w:sz w:val="32"/>
          <w:szCs w:val="32"/>
        </w:rPr>
        <w:t>推广应用先进供应链技术，支持大数据、区块链等技术的研发应用，推动传统制造业供应链向产业服务供应链转型，提升传统制造业产业价值链。</w:t>
      </w:r>
      <w:r>
        <w:rPr>
          <w:rFonts w:ascii="Times New Roman" w:hAnsi="Times New Roman" w:eastAsia="仿宋_GB2312" w:cs="Times New Roman"/>
          <w:sz w:val="32"/>
          <w:szCs w:val="32"/>
        </w:rPr>
        <w:t>重视产业链招商，围绕本地支柱产业和新兴产业在产业链上的薄弱环节开展招商引资，增强产业发展韧性，提升抗风险能力。</w:t>
      </w:r>
    </w:p>
    <w:p>
      <w:pPr>
        <w:pStyle w:val="3"/>
        <w:spacing w:line="560" w:lineRule="exact"/>
        <w:jc w:val="center"/>
        <w:rPr>
          <w:rFonts w:ascii="Times New Roman" w:hAnsi="Times New Roman" w:eastAsia="楷体_GB2312"/>
          <w:b w:val="0"/>
          <w:bCs w:val="0"/>
        </w:rPr>
      </w:pPr>
      <w:bookmarkStart w:id="82" w:name="_Toc60647862"/>
      <w:bookmarkEnd w:id="82"/>
      <w:bookmarkStart w:id="83" w:name="_Toc60738021"/>
      <w:bookmarkStart w:id="84" w:name="_Toc61946323"/>
      <w:bookmarkStart w:id="85" w:name="_Toc9551"/>
      <w:bookmarkStart w:id="86" w:name="_Toc7893"/>
      <w:bookmarkStart w:id="87" w:name="_Toc25217"/>
      <w:r>
        <w:rPr>
          <w:rFonts w:ascii="Times New Roman" w:hAnsi="楷体_GB2312" w:eastAsia="楷体_GB2312"/>
          <w:b w:val="0"/>
          <w:bCs w:val="0"/>
        </w:rPr>
        <w:t>第三节</w:t>
      </w:r>
      <w:r>
        <w:rPr>
          <w:rFonts w:hint="eastAsia" w:ascii="Times New Roman" w:hAnsi="楷体_GB2312" w:eastAsia="楷体_GB2312"/>
          <w:b w:val="0"/>
          <w:bCs w:val="0"/>
          <w:lang w:val="en-US" w:eastAsia="zh-CN"/>
        </w:rPr>
        <w:t xml:space="preserve"> </w:t>
      </w:r>
      <w:r>
        <w:rPr>
          <w:rFonts w:ascii="Times New Roman" w:hAnsi="楷体_GB2312" w:eastAsia="楷体_GB2312"/>
          <w:b w:val="0"/>
          <w:bCs w:val="0"/>
        </w:rPr>
        <w:t>打造更具竞争力的产业平台</w:t>
      </w:r>
      <w:bookmarkEnd w:id="83"/>
      <w:bookmarkEnd w:id="84"/>
      <w:bookmarkEnd w:id="85"/>
      <w:bookmarkEnd w:id="86"/>
      <w:bookmarkEnd w:id="87"/>
    </w:p>
    <w:p>
      <w:pPr>
        <w:spacing w:line="560" w:lineRule="exact"/>
        <w:ind w:firstLine="641"/>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谋划产业发展新平台。</w:t>
      </w:r>
      <w:r>
        <w:rPr>
          <w:rFonts w:ascii="Times New Roman" w:hAnsi="仿宋_GB2312" w:eastAsia="仿宋_GB2312" w:cs="Times New Roman"/>
          <w:sz w:val="32"/>
          <w:szCs w:val="32"/>
        </w:rPr>
        <w:t>与珠海在</w:t>
      </w:r>
      <w:r>
        <w:rPr>
          <w:rFonts w:ascii="Times New Roman" w:hAnsi="Times New Roman" w:eastAsia="仿宋_GB2312" w:cs="Times New Roman"/>
          <w:sz w:val="32"/>
          <w:szCs w:val="32"/>
        </w:rPr>
        <w:t>黄茅海两岸共同谋划建设省大型产业园区，承接国家级、省级重大产业项目。加快推进粤港澳大湾区（珠西）高端产业集聚发展区，发挥港珠澳大桥、深中通道、黄茅海跨海通道的引领作用，创新区域协同发展机制，培育一批先进制造业集群，构建珠江口西岸高质量发展新动力源。推动珠西新材料集聚区、广东轨道交通产业园、银洲湖纸业基地扩容提质。珠西新材料集聚区打造成国家级绿色新材料产业基地；广东轨道交通产业园组建以技术链为核心，集生产、研发、人才培养于一体的产业联盟，建设世界级高端轨道交通装备修造产业基地；银洲湖纸业基地努力创建国家循环经济示范区。积极拓展中心城区产城融合示范区产业空间，在江门大道沿线、潭江沿线谋划建设新的战略性产业园区，推动与周边市（区）融合发展。加强</w:t>
      </w:r>
      <w:r>
        <w:rPr>
          <w:rFonts w:hint="eastAsia" w:ascii="Times New Roman" w:hAnsi="Times New Roman" w:eastAsia="仿宋_GB2312" w:cs="Times New Roman"/>
          <w:sz w:val="32"/>
          <w:szCs w:val="32"/>
        </w:rPr>
        <w:t>睦洲</w:t>
      </w:r>
      <w:r>
        <w:rPr>
          <w:rFonts w:ascii="Times New Roman" w:hAnsi="Times New Roman" w:eastAsia="仿宋_GB2312" w:cs="Times New Roman"/>
          <w:sz w:val="32"/>
          <w:szCs w:val="32"/>
        </w:rPr>
        <w:t>、三江与高新区资源协同发展。谋划罗坑园区建设，提升装备制造产业承载力。加强主城区工业用地控制线管理，加快推进村级工业园“整体连片”改造，有效盘活土地资源，提升工业集聚发展水平，形成与重点工业园区互补、关联协同的产业发展局面。</w:t>
      </w:r>
    </w:p>
    <w:p>
      <w:pPr>
        <w:spacing w:line="560" w:lineRule="exact"/>
        <w:ind w:firstLine="641"/>
        <w:jc w:val="both"/>
        <w:rPr>
          <w:rFonts w:ascii="Times New Roman" w:hAnsi="Times New Roman" w:eastAsia="仿宋_GB2312" w:cs="Times New Roman"/>
          <w:sz w:val="32"/>
          <w:szCs w:val="32"/>
        </w:rPr>
      </w:pPr>
      <w:r>
        <w:rPr>
          <w:rFonts w:ascii="Times New Roman" w:hAnsi="仿宋_GB2312" w:eastAsia="仿宋_GB2312" w:cs="Times New Roman"/>
          <w:b/>
          <w:bCs/>
          <w:sz w:val="32"/>
          <w:szCs w:val="32"/>
        </w:rPr>
        <w:t>提高园区建设和管理水平。</w:t>
      </w:r>
      <w:r>
        <w:rPr>
          <w:rFonts w:ascii="Times New Roman" w:hAnsi="仿宋_GB2312" w:eastAsia="仿宋_GB2312" w:cs="Times New Roman"/>
          <w:bCs/>
          <w:sz w:val="32"/>
          <w:szCs w:val="32"/>
        </w:rPr>
        <w:t>加快园区基础设施建设，</w:t>
      </w:r>
      <w:r>
        <w:rPr>
          <w:rFonts w:ascii="Times New Roman" w:hAnsi="仿宋_GB2312" w:eastAsia="仿宋_GB2312" w:cs="Times New Roman"/>
          <w:sz w:val="32"/>
          <w:szCs w:val="32"/>
        </w:rPr>
        <w:t>推广标准建设。推动基础配套设施与公共服务提档升级，完善生活配套设施，推进产城人融合发展，变</w:t>
      </w:r>
      <w:r>
        <w:rPr>
          <w:rFonts w:ascii="Times New Roman" w:hAnsi="Times New Roman" w:eastAsia="仿宋_GB2312" w:cs="Times New Roman"/>
          <w:sz w:val="32"/>
          <w:szCs w:val="32"/>
        </w:rPr>
        <w:t>“</w:t>
      </w:r>
      <w:r>
        <w:rPr>
          <w:rFonts w:ascii="Times New Roman" w:hAnsi="仿宋_GB2312" w:eastAsia="仿宋_GB2312" w:cs="Times New Roman"/>
          <w:sz w:val="32"/>
          <w:szCs w:val="32"/>
        </w:rPr>
        <w:t>产业园区</w:t>
      </w:r>
      <w:r>
        <w:rPr>
          <w:rFonts w:ascii="Times New Roman" w:hAnsi="Times New Roman" w:eastAsia="仿宋_GB2312" w:cs="Times New Roman"/>
          <w:sz w:val="32"/>
          <w:szCs w:val="32"/>
        </w:rPr>
        <w:t>”</w:t>
      </w:r>
      <w:r>
        <w:rPr>
          <w:rFonts w:ascii="Times New Roman" w:hAnsi="仿宋_GB2312" w:eastAsia="仿宋_GB2312" w:cs="Times New Roman"/>
          <w:sz w:val="32"/>
          <w:szCs w:val="32"/>
        </w:rPr>
        <w:t>为</w:t>
      </w:r>
      <w:r>
        <w:rPr>
          <w:rFonts w:ascii="Times New Roman" w:hAnsi="Times New Roman" w:eastAsia="仿宋_GB2312" w:cs="Times New Roman"/>
          <w:sz w:val="32"/>
          <w:szCs w:val="32"/>
        </w:rPr>
        <w:t>“</w:t>
      </w:r>
      <w:r>
        <w:rPr>
          <w:rFonts w:ascii="Times New Roman" w:hAnsi="仿宋_GB2312" w:eastAsia="仿宋_GB2312" w:cs="Times New Roman"/>
          <w:sz w:val="32"/>
          <w:szCs w:val="32"/>
        </w:rPr>
        <w:t>产业社区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。完善园区管理运营方式，实施</w:t>
      </w:r>
      <w:r>
        <w:rPr>
          <w:rFonts w:ascii="Times New Roman" w:hAnsi="Times New Roman" w:eastAsia="仿宋_GB2312" w:cs="Times New Roman"/>
          <w:sz w:val="32"/>
          <w:szCs w:val="32"/>
        </w:rPr>
        <w:t>“</w:t>
      </w:r>
      <w:r>
        <w:rPr>
          <w:rFonts w:ascii="Times New Roman" w:hAnsi="仿宋_GB2312" w:eastAsia="仿宋_GB2312" w:cs="Times New Roman"/>
          <w:sz w:val="32"/>
          <w:szCs w:val="32"/>
        </w:rPr>
        <w:t>园区管委会</w:t>
      </w:r>
      <w:r>
        <w:rPr>
          <w:rFonts w:ascii="Times New Roman" w:hAnsi="Times New Roman" w:eastAsia="仿宋_GB2312" w:cs="Times New Roman"/>
          <w:sz w:val="32"/>
          <w:szCs w:val="32"/>
        </w:rPr>
        <w:t>+</w:t>
      </w:r>
      <w:r>
        <w:rPr>
          <w:rFonts w:ascii="Times New Roman" w:hAnsi="仿宋_GB2312" w:eastAsia="仿宋_GB2312" w:cs="Times New Roman"/>
          <w:sz w:val="32"/>
          <w:szCs w:val="32"/>
        </w:rPr>
        <w:t>开发投资公司</w:t>
      </w:r>
      <w:r>
        <w:rPr>
          <w:rFonts w:ascii="Times New Roman" w:hAnsi="Times New Roman" w:eastAsia="仿宋_GB2312" w:cs="Times New Roman"/>
          <w:sz w:val="32"/>
          <w:szCs w:val="32"/>
        </w:rPr>
        <w:t>”</w:t>
      </w:r>
      <w:r>
        <w:rPr>
          <w:rFonts w:ascii="Times New Roman" w:hAnsi="仿宋_GB2312" w:eastAsia="仿宋_GB2312" w:cs="Times New Roman"/>
          <w:sz w:val="32"/>
          <w:szCs w:val="32"/>
        </w:rPr>
        <w:t>共建共投开发，积极鼓励国有企业联合产业园开发运营领域的先进企业以市场化方式参与园区土地开发与运营。</w:t>
      </w:r>
    </w:p>
    <w:p>
      <w:pPr>
        <w:pStyle w:val="3"/>
        <w:spacing w:line="560" w:lineRule="exact"/>
        <w:jc w:val="center"/>
        <w:rPr>
          <w:rFonts w:ascii="Times New Roman" w:hAnsi="Times New Roman" w:eastAsia="楷体_GB2312"/>
          <w:b w:val="0"/>
          <w:bCs w:val="0"/>
        </w:rPr>
      </w:pPr>
      <w:bookmarkStart w:id="88" w:name="_Toc60738023"/>
      <w:bookmarkStart w:id="89" w:name="_Toc9102"/>
      <w:bookmarkStart w:id="90" w:name="_Toc12783"/>
      <w:bookmarkStart w:id="91" w:name="_Toc28615"/>
      <w:bookmarkStart w:id="92" w:name="_Toc61946325"/>
      <w:r>
        <w:rPr>
          <w:rFonts w:ascii="Times New Roman" w:hAnsi="楷体_GB2312" w:eastAsia="楷体_GB2312"/>
          <w:b w:val="0"/>
          <w:bCs w:val="0"/>
        </w:rPr>
        <w:t>第</w:t>
      </w:r>
      <w:r>
        <w:rPr>
          <w:rFonts w:hint="eastAsia" w:ascii="Times New Roman" w:hAnsi="楷体_GB2312" w:eastAsia="楷体_GB2312"/>
          <w:b w:val="0"/>
          <w:bCs w:val="0"/>
        </w:rPr>
        <w:t>四</w:t>
      </w:r>
      <w:r>
        <w:rPr>
          <w:rFonts w:ascii="Times New Roman" w:hAnsi="楷体_GB2312" w:eastAsia="楷体_GB2312"/>
          <w:b w:val="0"/>
          <w:bCs w:val="0"/>
        </w:rPr>
        <w:t>节</w:t>
      </w:r>
      <w:r>
        <w:rPr>
          <w:rFonts w:hint="eastAsia" w:ascii="Times New Roman" w:hAnsi="楷体_GB2312" w:eastAsia="楷体_GB2312"/>
          <w:b w:val="0"/>
          <w:bCs w:val="0"/>
          <w:lang w:val="en-US" w:eastAsia="zh-CN"/>
        </w:rPr>
        <w:t xml:space="preserve"> </w:t>
      </w:r>
      <w:r>
        <w:rPr>
          <w:rFonts w:ascii="Times New Roman" w:hAnsi="楷体_GB2312" w:eastAsia="楷体_GB2312"/>
          <w:b w:val="0"/>
          <w:bCs w:val="0"/>
        </w:rPr>
        <w:t>加快发展现代服务业</w:t>
      </w:r>
      <w:bookmarkEnd w:id="88"/>
      <w:bookmarkEnd w:id="89"/>
      <w:bookmarkEnd w:id="90"/>
      <w:bookmarkEnd w:id="91"/>
      <w:bookmarkEnd w:id="92"/>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培育发展新兴现代服务业。</w:t>
      </w:r>
      <w:r>
        <w:rPr>
          <w:rFonts w:ascii="Times New Roman" w:hAnsi="仿宋_GB2312" w:eastAsia="仿宋_GB2312" w:cs="Times New Roman"/>
          <w:sz w:val="32"/>
          <w:szCs w:val="32"/>
        </w:rPr>
        <w:t>大力发展总部经济，培育和引进一批规模大、效益高、竞争力强的总部企业。培育和引进一批电子商务龙头示范企业（平台），鼓励发展大宗工业品、农产品、生活消费品、生活服务等各类专业电子商务平台，引导电商企业拓展服务领域和功能，带动共享、协同、融合、集约等新兴模式发展。大力发展以健康管理、医药保健、健康文化、健康旅游等为重点的综合健康服务业。支持发展法律、咨询、人力资源等专业服务业，发展供应链管理、定制化服务、信息增值服务等服务型制造新业态，建设一批生产性服务业公共服务平台。瞄准四新经济、平台经济，谋划一批主营业务突出、成长性好的服务业重点项目。大力发展居民和家庭服务业，完善家政服务信息平台和社区综合服务信息平台建设。</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加快发展现代金融服务。</w:t>
      </w:r>
      <w:r>
        <w:rPr>
          <w:rFonts w:ascii="Times New Roman" w:hAnsi="仿宋_GB2312" w:eastAsia="仿宋_GB2312" w:cs="Times New Roman"/>
          <w:sz w:val="32"/>
          <w:szCs w:val="32"/>
        </w:rPr>
        <w:t>提升金融服务实体经济能力，推动产业与金融深度融合，加强对骨干企业和重点项目金融支持。支持符合条件的企业在主板、中小板、创业板、科创板、</w:t>
      </w:r>
      <w:r>
        <w:rPr>
          <w:rFonts w:ascii="Times New Roman" w:hAnsi="Times New Roman" w:eastAsia="仿宋_GB2312" w:cs="Times New Roman"/>
          <w:sz w:val="32"/>
          <w:szCs w:val="32"/>
        </w:rPr>
        <w:t>“</w:t>
      </w:r>
      <w:r>
        <w:rPr>
          <w:rFonts w:ascii="Times New Roman" w:hAnsi="仿宋_GB2312" w:eastAsia="仿宋_GB2312" w:cs="Times New Roman"/>
          <w:sz w:val="32"/>
          <w:szCs w:val="32"/>
        </w:rPr>
        <w:t>新三板</w:t>
      </w:r>
      <w:r>
        <w:rPr>
          <w:rFonts w:ascii="Times New Roman" w:hAnsi="Times New Roman" w:eastAsia="仿宋_GB2312" w:cs="Times New Roman"/>
          <w:sz w:val="32"/>
          <w:szCs w:val="32"/>
        </w:rPr>
        <w:t>”</w:t>
      </w:r>
      <w:r>
        <w:rPr>
          <w:rFonts w:ascii="Times New Roman" w:hAnsi="仿宋_GB2312" w:eastAsia="仿宋_GB2312" w:cs="Times New Roman"/>
          <w:sz w:val="32"/>
          <w:szCs w:val="32"/>
        </w:rPr>
        <w:t>和深圳前海、广东股权交易中心挂牌上市融资，支持已上市企业通过再融资、并购重组等方式做大做强。大力引进国际性、全国性、区域性金融机构，吸引其设立法人机构、区域总部、业务总部等，加快珠西商务中心、江门农商行总部大楼建设。</w:t>
      </w:r>
    </w:p>
    <w:p>
      <w:pPr>
        <w:adjustRightInd/>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大力发展全域旅游。</w:t>
      </w:r>
      <w:r>
        <w:rPr>
          <w:rFonts w:ascii="Times New Roman" w:hAnsi="仿宋_GB2312" w:eastAsia="仿宋_GB2312" w:cs="Times New Roman"/>
          <w:bCs/>
          <w:sz w:val="32"/>
          <w:szCs w:val="32"/>
        </w:rPr>
        <w:t>深度挖掘红色旅游。</w:t>
      </w:r>
      <w:r>
        <w:rPr>
          <w:rFonts w:ascii="Times New Roman" w:hAnsi="仿宋_GB2312" w:eastAsia="仿宋_GB2312" w:cs="Times New Roman"/>
          <w:sz w:val="32"/>
          <w:szCs w:val="32"/>
        </w:rPr>
        <w:t>重点开发罗坑镇林锵云故居及故居展览室等为代表的一批红色旅游景区；积极开拓劳动大学旧址、大泽镇五和二社旧址、梁启超故居等</w:t>
      </w:r>
      <w:r>
        <w:rPr>
          <w:rFonts w:ascii="Times New Roman" w:hAnsi="Times New Roman" w:eastAsia="仿宋_GB2312" w:cs="Times New Roman"/>
          <w:sz w:val="32"/>
          <w:szCs w:val="32"/>
        </w:rPr>
        <w:t>“</w:t>
      </w:r>
      <w:r>
        <w:rPr>
          <w:rFonts w:ascii="Times New Roman" w:hAnsi="仿宋_GB2312" w:eastAsia="仿宋_GB2312" w:cs="Times New Roman"/>
          <w:sz w:val="32"/>
          <w:szCs w:val="32"/>
        </w:rPr>
        <w:t>时代精神</w:t>
      </w:r>
      <w:r>
        <w:rPr>
          <w:rFonts w:ascii="Times New Roman" w:hAnsi="Times New Roman" w:eastAsia="仿宋_GB2312" w:cs="Times New Roman"/>
          <w:sz w:val="32"/>
          <w:szCs w:val="32"/>
        </w:rPr>
        <w:t>”</w:t>
      </w:r>
      <w:r>
        <w:rPr>
          <w:rFonts w:ascii="Times New Roman" w:hAnsi="仿宋_GB2312" w:eastAsia="仿宋_GB2312" w:cs="Times New Roman"/>
          <w:sz w:val="32"/>
          <w:szCs w:val="32"/>
        </w:rPr>
        <w:t>主题的旅游点。</w:t>
      </w:r>
      <w:r>
        <w:rPr>
          <w:rFonts w:ascii="Times New Roman" w:hAnsi="仿宋_GB2312" w:eastAsia="仿宋_GB2312" w:cs="Times New Roman"/>
          <w:bCs/>
          <w:sz w:val="32"/>
          <w:szCs w:val="32"/>
        </w:rPr>
        <w:t>全域发展乡村旅游。把经典串联成线成片，打造精品旅游线路。</w:t>
      </w:r>
      <w:r>
        <w:rPr>
          <w:rFonts w:ascii="Times New Roman" w:hAnsi="仿宋_GB2312" w:eastAsia="仿宋_GB2312" w:cs="Times New Roman"/>
          <w:sz w:val="32"/>
          <w:szCs w:val="32"/>
        </w:rPr>
        <w:t>推动双水镇连片乡村旅游开发区建设；以疍家文化为特色，推动西江养心岛、大鳌镇开发；支持以石板沙村、霞路村、天马村、茶坑村、京梅村等为代表的旅游特色村创建；推动新会陈皮村、古井艺术部落、石涧田园生态项目等乡村旅游创客基地建设。</w:t>
      </w:r>
      <w:r>
        <w:rPr>
          <w:rFonts w:ascii="Times New Roman" w:hAnsi="仿宋_GB2312" w:eastAsia="仿宋_GB2312" w:cs="Times New Roman"/>
          <w:bCs/>
          <w:sz w:val="32"/>
          <w:szCs w:val="32"/>
        </w:rPr>
        <w:t>跨越发展康养旅游。</w:t>
      </w:r>
      <w:r>
        <w:rPr>
          <w:rFonts w:ascii="Times New Roman" w:hAnsi="仿宋_GB2312" w:eastAsia="仿宋_GB2312" w:cs="Times New Roman"/>
          <w:sz w:val="32"/>
          <w:szCs w:val="32"/>
        </w:rPr>
        <w:t>推动古兜温泉康养型温泉和新会陈皮国家现代农业产业园整合，做好银湖湾中医药疗养业态培育工作，打造大湾区</w:t>
      </w:r>
      <w:r>
        <w:rPr>
          <w:rFonts w:ascii="Times New Roman" w:hAnsi="Times New Roman" w:eastAsia="仿宋_GB2312" w:cs="Times New Roman"/>
          <w:sz w:val="32"/>
          <w:szCs w:val="32"/>
        </w:rPr>
        <w:t>“</w:t>
      </w:r>
      <w:r>
        <w:rPr>
          <w:rFonts w:ascii="Times New Roman" w:hAnsi="仿宋_GB2312" w:eastAsia="仿宋_GB2312" w:cs="Times New Roman"/>
          <w:sz w:val="32"/>
          <w:szCs w:val="32"/>
        </w:rPr>
        <w:t>温泉之乡</w:t>
      </w:r>
      <w:r>
        <w:rPr>
          <w:rFonts w:ascii="Times New Roman" w:hAnsi="Times New Roman" w:eastAsia="仿宋_GB2312" w:cs="Times New Roman"/>
          <w:sz w:val="32"/>
          <w:szCs w:val="32"/>
        </w:rPr>
        <w:t>”</w:t>
      </w:r>
      <w:r>
        <w:rPr>
          <w:rFonts w:ascii="Times New Roman" w:hAnsi="仿宋_GB2312" w:eastAsia="仿宋_GB2312" w:cs="Times New Roman"/>
          <w:sz w:val="32"/>
          <w:szCs w:val="32"/>
        </w:rPr>
        <w:t>康养胜地等旅游目的地品牌和银湖湾滨海新区康养品牌。提高星级酒店数量，提升过夜旅客数量。</w:t>
      </w:r>
    </w:p>
    <w:p>
      <w:pPr>
        <w:pStyle w:val="3"/>
        <w:spacing w:line="560" w:lineRule="exact"/>
        <w:jc w:val="center"/>
        <w:rPr>
          <w:rFonts w:ascii="Times New Roman" w:hAnsi="Times New Roman" w:eastAsia="楷体_GB2312"/>
          <w:b w:val="0"/>
          <w:bCs w:val="0"/>
        </w:rPr>
      </w:pPr>
      <w:bookmarkStart w:id="93" w:name="_Toc12070"/>
      <w:bookmarkStart w:id="94" w:name="_Toc61946326"/>
      <w:bookmarkStart w:id="95" w:name="_Toc11064"/>
      <w:bookmarkStart w:id="96" w:name="_Toc60738025"/>
      <w:bookmarkStart w:id="97" w:name="_Toc6214"/>
      <w:r>
        <w:rPr>
          <w:rFonts w:ascii="Times New Roman" w:hAnsi="楷体_GB2312" w:eastAsia="楷体_GB2312"/>
          <w:b w:val="0"/>
          <w:bCs w:val="0"/>
        </w:rPr>
        <w:t>第</w:t>
      </w:r>
      <w:r>
        <w:rPr>
          <w:rFonts w:hint="eastAsia" w:ascii="Times New Roman" w:hAnsi="楷体_GB2312" w:eastAsia="楷体_GB2312"/>
          <w:b w:val="0"/>
          <w:bCs w:val="0"/>
        </w:rPr>
        <w:t>五</w:t>
      </w:r>
      <w:r>
        <w:rPr>
          <w:rFonts w:ascii="Times New Roman" w:hAnsi="楷体_GB2312" w:eastAsia="楷体_GB2312"/>
          <w:b w:val="0"/>
          <w:bCs w:val="0"/>
        </w:rPr>
        <w:t>节</w:t>
      </w:r>
      <w:r>
        <w:rPr>
          <w:rFonts w:hint="eastAsia" w:ascii="Times New Roman" w:hAnsi="楷体_GB2312" w:eastAsia="楷体_GB2312"/>
          <w:b w:val="0"/>
          <w:bCs w:val="0"/>
          <w:lang w:val="en-US" w:eastAsia="zh-CN"/>
        </w:rPr>
        <w:t xml:space="preserve"> </w:t>
      </w:r>
      <w:r>
        <w:rPr>
          <w:rFonts w:ascii="Times New Roman" w:hAnsi="楷体_GB2312" w:eastAsia="楷体_GB2312"/>
          <w:b w:val="0"/>
          <w:bCs w:val="0"/>
        </w:rPr>
        <w:t>大力发展数字经济</w:t>
      </w:r>
      <w:bookmarkEnd w:id="93"/>
      <w:bookmarkEnd w:id="94"/>
      <w:bookmarkEnd w:id="95"/>
      <w:bookmarkEnd w:id="96"/>
      <w:bookmarkEnd w:id="97"/>
    </w:p>
    <w:p>
      <w:pPr>
        <w:adjustRightInd/>
        <w:spacing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有效发挥数字化创新对实体经济提质增效的带动作用，加快数字产业化、产业数字化发展。</w:t>
      </w:r>
    </w:p>
    <w:p>
      <w:pPr>
        <w:spacing w:line="560" w:lineRule="exact"/>
        <w:ind w:firstLine="643"/>
        <w:jc w:val="both"/>
        <w:rPr>
          <w:rFonts w:ascii="Times New Roman" w:hAnsi="Times New Roman" w:eastAsia="仿宋_GB2312" w:cs="Times New Roman"/>
          <w:b/>
          <w:sz w:val="32"/>
          <w:szCs w:val="32"/>
        </w:rPr>
      </w:pPr>
      <w:r>
        <w:rPr>
          <w:rFonts w:ascii="Times New Roman" w:hAnsi="仿宋_GB2312" w:eastAsia="仿宋_GB2312" w:cs="Times New Roman"/>
          <w:b/>
          <w:sz w:val="32"/>
          <w:szCs w:val="32"/>
        </w:rPr>
        <w:t>大力实施数字化改造。</w:t>
      </w:r>
      <w:r>
        <w:rPr>
          <w:rFonts w:ascii="Times New Roman" w:hAnsi="仿宋_GB2312" w:eastAsia="仿宋_GB2312" w:cs="Times New Roman"/>
          <w:sz w:val="32"/>
          <w:szCs w:val="32"/>
        </w:rPr>
        <w:t>实施传统制造业</w:t>
      </w:r>
      <w:r>
        <w:rPr>
          <w:rFonts w:ascii="Times New Roman" w:hAnsi="Times New Roman" w:eastAsia="仿宋_GB2312" w:cs="Times New Roman"/>
          <w:sz w:val="32"/>
          <w:szCs w:val="32"/>
        </w:rPr>
        <w:t>“</w:t>
      </w:r>
      <w:r>
        <w:rPr>
          <w:rFonts w:ascii="Times New Roman" w:hAnsi="仿宋_GB2312" w:eastAsia="仿宋_GB2312" w:cs="Times New Roman"/>
          <w:sz w:val="32"/>
          <w:szCs w:val="32"/>
        </w:rPr>
        <w:t>互联网</w:t>
      </w:r>
      <w:r>
        <w:rPr>
          <w:rFonts w:ascii="Times New Roman" w:hAnsi="Times New Roman" w:eastAsia="仿宋_GB2312" w:cs="Times New Roman"/>
          <w:sz w:val="32"/>
          <w:szCs w:val="32"/>
        </w:rPr>
        <w:t>+”</w:t>
      </w:r>
      <w:r>
        <w:rPr>
          <w:rFonts w:ascii="Times New Roman" w:hAnsi="仿宋_GB2312" w:eastAsia="仿宋_GB2312" w:cs="Times New Roman"/>
          <w:sz w:val="32"/>
          <w:szCs w:val="32"/>
        </w:rPr>
        <w:t>提升行动计划，深化机器换人、工厂物联网、企业上云、工业互联网等应用，大力推广协同制造、服务型制造、个性化定制、全生命周期管理等</w:t>
      </w:r>
      <w:r>
        <w:rPr>
          <w:rFonts w:ascii="Times New Roman" w:hAnsi="Times New Roman" w:eastAsia="仿宋_GB2312" w:cs="Times New Roman"/>
          <w:sz w:val="32"/>
          <w:szCs w:val="32"/>
        </w:rPr>
        <w:t>“</w:t>
      </w:r>
      <w:r>
        <w:rPr>
          <w:rFonts w:ascii="Times New Roman" w:hAnsi="仿宋_GB2312" w:eastAsia="仿宋_GB2312" w:cs="Times New Roman"/>
          <w:sz w:val="32"/>
          <w:szCs w:val="32"/>
        </w:rPr>
        <w:t>互联网</w:t>
      </w:r>
      <w:r>
        <w:rPr>
          <w:rFonts w:ascii="Times New Roman" w:hAnsi="Times New Roman" w:eastAsia="仿宋_GB2312" w:cs="Times New Roman"/>
          <w:sz w:val="32"/>
          <w:szCs w:val="32"/>
        </w:rPr>
        <w:t>+</w:t>
      </w:r>
      <w:r>
        <w:rPr>
          <w:rFonts w:ascii="Times New Roman" w:hAnsi="仿宋_GB2312" w:eastAsia="仿宋_GB2312" w:cs="Times New Roman"/>
          <w:sz w:val="32"/>
          <w:szCs w:val="32"/>
        </w:rPr>
        <w:t>制造</w:t>
      </w:r>
      <w:r>
        <w:rPr>
          <w:rFonts w:ascii="Times New Roman" w:hAnsi="Times New Roman" w:eastAsia="仿宋_GB2312" w:cs="Times New Roman"/>
          <w:sz w:val="32"/>
          <w:szCs w:val="32"/>
        </w:rPr>
        <w:t>”</w:t>
      </w:r>
      <w:r>
        <w:rPr>
          <w:rFonts w:ascii="Times New Roman" w:hAnsi="仿宋_GB2312" w:eastAsia="仿宋_GB2312" w:cs="Times New Roman"/>
          <w:sz w:val="32"/>
          <w:szCs w:val="32"/>
        </w:rPr>
        <w:t>新模式，逐步实现企业数字化、网络化、智能化，实现规模以上传统工业企业数字化改造全覆盖。大力支持和加快建设一批智能工厂或数字化车间，强化智能制造整体解决方案提供商与制造应用企业对接。支持传统行业龙头企业为产业集群量身定制智能化转型方案和提供先进技术装备，打造</w:t>
      </w:r>
      <w:r>
        <w:rPr>
          <w:rFonts w:ascii="Times New Roman" w:hAnsi="Times New Roman" w:eastAsia="仿宋_GB2312" w:cs="Times New Roman"/>
          <w:sz w:val="32"/>
          <w:szCs w:val="32"/>
        </w:rPr>
        <w:t>“</w:t>
      </w:r>
      <w:r>
        <w:rPr>
          <w:rFonts w:ascii="Times New Roman" w:hAnsi="仿宋_GB2312" w:eastAsia="仿宋_GB2312" w:cs="Times New Roman"/>
          <w:sz w:val="32"/>
          <w:szCs w:val="32"/>
        </w:rPr>
        <w:t>政府政策</w:t>
      </w:r>
      <w:r>
        <w:rPr>
          <w:rFonts w:ascii="Times New Roman" w:hAnsi="Times New Roman" w:eastAsia="仿宋_GB2312" w:cs="Times New Roman"/>
          <w:sz w:val="32"/>
          <w:szCs w:val="32"/>
        </w:rPr>
        <w:t>+</w:t>
      </w:r>
      <w:r>
        <w:rPr>
          <w:rFonts w:ascii="Times New Roman" w:hAnsi="仿宋_GB2312" w:eastAsia="仿宋_GB2312" w:cs="Times New Roman"/>
          <w:sz w:val="32"/>
          <w:szCs w:val="32"/>
        </w:rPr>
        <w:t>龙头企业</w:t>
      </w:r>
      <w:r>
        <w:rPr>
          <w:rFonts w:ascii="Times New Roman" w:hAnsi="Times New Roman" w:eastAsia="仿宋_GB2312" w:cs="Times New Roman"/>
          <w:sz w:val="32"/>
          <w:szCs w:val="32"/>
        </w:rPr>
        <w:t>+</w:t>
      </w:r>
      <w:r>
        <w:rPr>
          <w:rFonts w:ascii="Times New Roman" w:hAnsi="仿宋_GB2312" w:eastAsia="仿宋_GB2312" w:cs="Times New Roman"/>
          <w:sz w:val="32"/>
          <w:szCs w:val="32"/>
        </w:rPr>
        <w:t>融资担保</w:t>
      </w:r>
      <w:r>
        <w:rPr>
          <w:rFonts w:ascii="Times New Roman" w:hAnsi="Times New Roman" w:eastAsia="仿宋_GB2312" w:cs="Times New Roman"/>
          <w:sz w:val="32"/>
          <w:szCs w:val="32"/>
        </w:rPr>
        <w:t>+</w:t>
      </w:r>
      <w:r>
        <w:rPr>
          <w:rFonts w:ascii="Times New Roman" w:hAnsi="仿宋_GB2312" w:eastAsia="仿宋_GB2312" w:cs="Times New Roman"/>
          <w:sz w:val="32"/>
          <w:szCs w:val="32"/>
        </w:rPr>
        <w:t>产业链中小企业</w:t>
      </w:r>
      <w:r>
        <w:rPr>
          <w:rFonts w:ascii="Times New Roman" w:hAnsi="Times New Roman" w:eastAsia="仿宋_GB2312" w:cs="Times New Roman"/>
          <w:sz w:val="32"/>
          <w:szCs w:val="32"/>
        </w:rPr>
        <w:t>”</w:t>
      </w:r>
      <w:r>
        <w:rPr>
          <w:rFonts w:ascii="Times New Roman" w:hAnsi="仿宋_GB2312" w:eastAsia="仿宋_GB2312" w:cs="Times New Roman"/>
          <w:sz w:val="32"/>
          <w:szCs w:val="32"/>
        </w:rPr>
        <w:t>协同创新模式。</w:t>
      </w:r>
    </w:p>
    <w:p>
      <w:pPr>
        <w:adjustRightInd/>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推动数字应用技术产业化。</w:t>
      </w:r>
      <w:r>
        <w:rPr>
          <w:rFonts w:ascii="Times New Roman" w:hAnsi="仿宋_GB2312" w:eastAsia="仿宋_GB2312" w:cs="Times New Roman"/>
          <w:sz w:val="32"/>
          <w:szCs w:val="32"/>
        </w:rPr>
        <w:t>推进</w:t>
      </w:r>
      <w:r>
        <w:rPr>
          <w:rFonts w:ascii="Times New Roman" w:hAnsi="Times New Roman" w:eastAsia="仿宋_GB2312" w:cs="Times New Roman"/>
          <w:sz w:val="32"/>
          <w:szCs w:val="32"/>
        </w:rPr>
        <w:t>5G</w:t>
      </w:r>
      <w:r>
        <w:rPr>
          <w:rFonts w:ascii="Times New Roman" w:hAnsi="仿宋_GB2312" w:eastAsia="仿宋_GB2312" w:cs="Times New Roman"/>
          <w:sz w:val="32"/>
          <w:szCs w:val="32"/>
        </w:rPr>
        <w:t>、大数据、区块链、物联网、人工智能等数字技术与装备制造、不锈钢制品、纺织化纤、汽车零部件等行业深度融合应用，加速工业向数字化、网络化、智能化转型。大力培育和引进工业互联网平台商和服务商，分行业、分领域建设一批工业云平台，并鼓励企业基础设施上云、企业平台系统上云、企业业务应用上云，推动低成本、模块化工业互联网设备和系统在中小企业中的部署应用，提升企业数字化基础能力。鼓励发展在线教育、在线医疗、在线设计研发等新业态，加快培育发展、平台经济、共享经济、无人经济、新个体经济、微经济。</w:t>
      </w:r>
    </w:p>
    <w:p>
      <w:pPr>
        <w:pStyle w:val="2"/>
        <w:spacing w:line="560" w:lineRule="exact"/>
        <w:rPr>
          <w:rFonts w:ascii="Times New Roman" w:hAnsi="Times New Roman"/>
          <w:b w:val="0"/>
          <w:szCs w:val="32"/>
        </w:rPr>
      </w:pPr>
      <w:r>
        <w:rPr>
          <w:rFonts w:ascii="Times New Roman" w:hAnsi="Times New Roman"/>
          <w:szCs w:val="32"/>
        </w:rPr>
        <w:br w:type="page"/>
      </w:r>
      <w:bookmarkStart w:id="98" w:name="_Toc61946327"/>
      <w:bookmarkStart w:id="99" w:name="_Toc14537"/>
      <w:bookmarkStart w:id="100" w:name="_Toc60738026"/>
      <w:bookmarkStart w:id="101" w:name="_Toc19311"/>
      <w:bookmarkStart w:id="102" w:name="_Toc12818"/>
      <w:r>
        <w:rPr>
          <w:rFonts w:ascii="Times New Roman" w:hAnsi="黑体"/>
          <w:b w:val="0"/>
          <w:szCs w:val="32"/>
        </w:rPr>
        <w:t>第五章</w:t>
      </w:r>
      <w:r>
        <w:rPr>
          <w:rFonts w:hint="eastAsia" w:ascii="Times New Roman" w:hAnsi="黑体"/>
          <w:b w:val="0"/>
          <w:szCs w:val="32"/>
          <w:lang w:val="en-US" w:eastAsia="zh-CN"/>
        </w:rPr>
        <w:t xml:space="preserve"> </w:t>
      </w:r>
      <w:r>
        <w:rPr>
          <w:rFonts w:ascii="Times New Roman" w:hAnsi="黑体"/>
          <w:b w:val="0"/>
          <w:szCs w:val="32"/>
        </w:rPr>
        <w:t>促进内外联动</w:t>
      </w:r>
      <w:r>
        <w:rPr>
          <w:rFonts w:hint="eastAsia" w:ascii="Times New Roman" w:hAnsi="黑体"/>
          <w:b w:val="0"/>
          <w:szCs w:val="32"/>
          <w:lang w:val="en-US" w:eastAsia="zh-CN"/>
        </w:rPr>
        <w:t xml:space="preserve"> </w:t>
      </w:r>
      <w:r>
        <w:rPr>
          <w:rFonts w:ascii="Times New Roman" w:hAnsi="黑体"/>
          <w:b w:val="0"/>
          <w:szCs w:val="32"/>
        </w:rPr>
        <w:t>打造新发展格局的战略支点</w:t>
      </w:r>
      <w:bookmarkEnd w:id="98"/>
      <w:bookmarkEnd w:id="99"/>
      <w:bookmarkEnd w:id="100"/>
      <w:bookmarkEnd w:id="101"/>
      <w:bookmarkEnd w:id="102"/>
    </w:p>
    <w:p>
      <w:pPr>
        <w:spacing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坚持扩大内需战略基点，更好利用国际国内两种资源，实施外贸市场多元化战略，积极扩大有效投资，力促消费回补和潜力释放，实现更加强劲可持续发展。</w:t>
      </w:r>
    </w:p>
    <w:p>
      <w:pPr>
        <w:pStyle w:val="3"/>
        <w:spacing w:line="560" w:lineRule="exact"/>
        <w:jc w:val="center"/>
        <w:rPr>
          <w:rFonts w:ascii="Times New Roman" w:hAnsi="Times New Roman" w:eastAsia="楷体_GB2312"/>
          <w:b w:val="0"/>
        </w:rPr>
      </w:pPr>
      <w:bookmarkStart w:id="103" w:name="_Toc61946328"/>
      <w:bookmarkStart w:id="104" w:name="_Toc21459"/>
      <w:bookmarkStart w:id="105" w:name="_Toc17542"/>
      <w:bookmarkStart w:id="106" w:name="_Toc60738027"/>
      <w:bookmarkStart w:id="107" w:name="_Toc13323"/>
      <w:r>
        <w:rPr>
          <w:rFonts w:ascii="Times New Roman" w:hAnsi="Times New Roman" w:eastAsia="楷体_GB2312"/>
          <w:b w:val="0"/>
        </w:rPr>
        <w:t>第一节 推动畅通国内大循环</w:t>
      </w:r>
      <w:bookmarkEnd w:id="103"/>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积极开拓国内市场。</w:t>
      </w:r>
      <w:r>
        <w:rPr>
          <w:rFonts w:ascii="Times New Roman" w:hAnsi="Times New Roman" w:eastAsia="仿宋_GB2312" w:cs="Times New Roman"/>
          <w:sz w:val="32"/>
          <w:szCs w:val="32"/>
        </w:rPr>
        <w:t>深入开展质量提升行动，打造国家级质量检测服务平台，加强标准、计量、专利等体系和能力建设，扩大中高端供给，提升全区产品供给体系对国内需求的适配性。支持引导企业加大设计、营销投入，深耕国内市场，推动内外销产品同线同标同质，力促更多出口产品转内销。推动互联网新理念、新技术、新模式与制造业深度融合发展，探索引厂进店、产品联合开发等模式，推动产销深度融合，拓展网络经济空间。实施品牌培育提升工程，增强“新会制造”“新会品牌”的竞争力，提升新会产品国内市场的占有率。</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建设现代流通体系。</w:t>
      </w:r>
      <w:r>
        <w:rPr>
          <w:rFonts w:ascii="Times New Roman" w:hAnsi="Times New Roman" w:eastAsia="仿宋_GB2312" w:cs="Times New Roman"/>
          <w:sz w:val="32"/>
          <w:szCs w:val="32"/>
        </w:rPr>
        <w:t>加大物流基础设施建设力度，以重要工业产业园区为依托，构建节点布局合理、功能完善、衔接高效的制造业物流服务网络体系。加强对铁路物流的研究和推广，进一步推进铁路货运班列常态化运行，提升动力和服务功能，增强对珠西区域的辐射能力。进一步有效融合铁路、公路、港口、航道等优势资源，重点探索与珠海陆港、海港、空港联动发展，共同构筑珠江西岸水陆联动重要节点。建设高等级航道网络，提升国际航运功能。促进流通新业态新模式发展，积极发展智慧物流、供应链物流等新型物流业。布局建设、改造一批专业市场，结合我区优势产业，出台扶持政策，培育、引进一批批发、零售、电商市场主体，在五金不锈钢、农产品等领域形成若干个具有全国影响力的产品集散中心。完善城市配送体系建设，加快农村物流发展，支持电商、快递进农村，扩大农产品流通。</w:t>
      </w:r>
    </w:p>
    <w:p>
      <w:pPr>
        <w:pStyle w:val="3"/>
        <w:spacing w:line="560" w:lineRule="exact"/>
        <w:jc w:val="center"/>
        <w:rPr>
          <w:rFonts w:ascii="Times New Roman" w:hAnsi="Times New Roman" w:eastAsia="楷体_GB2312"/>
          <w:b w:val="0"/>
        </w:rPr>
      </w:pPr>
      <w:bookmarkStart w:id="108" w:name="_Toc61946329"/>
      <w:r>
        <w:rPr>
          <w:rFonts w:ascii="Times New Roman" w:hAnsi="Times New Roman" w:eastAsia="楷体_GB2312"/>
          <w:b w:val="0"/>
        </w:rPr>
        <w:t>第二节 提升开放型经济发展水平</w:t>
      </w:r>
      <w:bookmarkEnd w:id="108"/>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打造高水平开放合作平台。</w:t>
      </w:r>
      <w:r>
        <w:rPr>
          <w:rFonts w:ascii="Times New Roman" w:hAnsi="仿宋_GB2312" w:eastAsia="仿宋_GB2312" w:cs="Times New Roman"/>
          <w:sz w:val="32"/>
          <w:szCs w:val="32"/>
        </w:rPr>
        <w:t>积极参与江门综合保税区规划建设，大力发展保税物流。</w:t>
      </w:r>
      <w:r>
        <w:rPr>
          <w:rFonts w:ascii="Times New Roman" w:eastAsia="方正仿宋简体" w:cs="Times New Roman"/>
          <w:sz w:val="32"/>
          <w:szCs w:val="32"/>
        </w:rPr>
        <w:t>推动</w:t>
      </w:r>
      <w:r>
        <w:rPr>
          <w:rFonts w:ascii="Times New Roman" w:hAnsi="仿宋_GB2312" w:eastAsia="仿宋_GB2312" w:cs="Times New Roman"/>
          <w:sz w:val="32"/>
          <w:szCs w:val="32"/>
        </w:rPr>
        <w:t>新会港、大广海湾保税物流中心（</w:t>
      </w:r>
      <w:r>
        <w:rPr>
          <w:rFonts w:ascii="Times New Roman" w:hAnsi="Times New Roman" w:eastAsia="仿宋_GB2312" w:cs="Times New Roman"/>
          <w:sz w:val="32"/>
          <w:szCs w:val="32"/>
        </w:rPr>
        <w:t>B</w:t>
      </w:r>
      <w:r>
        <w:rPr>
          <w:rFonts w:ascii="Times New Roman" w:hAnsi="仿宋_GB2312" w:eastAsia="仿宋_GB2312" w:cs="Times New Roman"/>
          <w:sz w:val="32"/>
          <w:szCs w:val="32"/>
        </w:rPr>
        <w:t>型）高质量运营。以江门建设跨境电子商务综合试验区为契机，实施外贸市场多元化战略，引入一批大型物流企业和平台企业，大力发展跨境电商、保税仓储和展示等新业态。</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bCs/>
          <w:sz w:val="32"/>
          <w:szCs w:val="32"/>
        </w:rPr>
        <w:t>推动对外贸易高质量发展。</w:t>
      </w:r>
      <w:r>
        <w:rPr>
          <w:rFonts w:ascii="Times New Roman" w:hAnsi="仿宋_GB2312" w:eastAsia="仿宋_GB2312" w:cs="Times New Roman"/>
          <w:sz w:val="32"/>
          <w:szCs w:val="32"/>
        </w:rPr>
        <w:t>做强一般贸易，鼓励加工贸易向服务贸易和新型贸易业态延伸。加快培育以技术、品牌和服务为核心竞争力的出口新优势，鼓励自主知识产权、自主品牌和高新技术产品出口。加快推动内外贸易融合发展，加快建设五金不锈钢国家级外贸转型升级基地，力促造船、不锈钢等异地进出口回流。培育和发展保税电商业务，推动跨境电商保税备货、保税展示交易、进口商品分装等新业态的发展。抢抓</w:t>
      </w:r>
      <w:r>
        <w:rPr>
          <w:rFonts w:ascii="Times New Roman" w:hAnsi="Times New Roman" w:eastAsia="仿宋_GB2312" w:cs="Times New Roman"/>
          <w:sz w:val="32"/>
          <w:szCs w:val="32"/>
        </w:rPr>
        <w:t>“</w:t>
      </w:r>
      <w:r>
        <w:rPr>
          <w:rFonts w:ascii="Times New Roman" w:hAnsi="仿宋_GB2312" w:eastAsia="仿宋_GB2312" w:cs="Times New Roman"/>
          <w:sz w:val="32"/>
          <w:szCs w:val="32"/>
        </w:rPr>
        <w:t>一带一路</w:t>
      </w:r>
      <w:r>
        <w:rPr>
          <w:rFonts w:ascii="Times New Roman" w:hAnsi="Times New Roman" w:eastAsia="仿宋_GB2312" w:cs="Times New Roman"/>
          <w:sz w:val="32"/>
          <w:szCs w:val="32"/>
        </w:rPr>
        <w:t>”</w:t>
      </w:r>
      <w:r>
        <w:rPr>
          <w:rFonts w:ascii="Times New Roman" w:hAnsi="仿宋_GB2312" w:eastAsia="仿宋_GB2312" w:cs="Times New Roman"/>
          <w:sz w:val="32"/>
          <w:szCs w:val="32"/>
        </w:rPr>
        <w:t>建设机遇，加强与区域全面经济伙伴关系协定（</w:t>
      </w:r>
      <w:r>
        <w:rPr>
          <w:rFonts w:ascii="Times New Roman" w:hAnsi="Times New Roman" w:eastAsia="仿宋_GB2312" w:cs="Times New Roman"/>
          <w:sz w:val="32"/>
          <w:szCs w:val="32"/>
        </w:rPr>
        <w:t>RCEP</w:t>
      </w:r>
      <w:r>
        <w:rPr>
          <w:rFonts w:ascii="Times New Roman" w:hAnsi="仿宋_GB2312" w:eastAsia="仿宋_GB2312" w:cs="Times New Roman"/>
          <w:sz w:val="32"/>
          <w:szCs w:val="32"/>
        </w:rPr>
        <w:t>）成员国的贸易往来，积极拓展新兴市场。落实好《外商投资法》以及省、市</w:t>
      </w:r>
      <w:r>
        <w:rPr>
          <w:rFonts w:ascii="Times New Roman" w:hAnsi="Times New Roman" w:eastAsia="仿宋_GB2312" w:cs="Times New Roman"/>
          <w:sz w:val="32"/>
          <w:szCs w:val="32"/>
        </w:rPr>
        <w:t>“</w:t>
      </w:r>
      <w:r>
        <w:rPr>
          <w:rFonts w:ascii="Times New Roman" w:hAnsi="仿宋_GB2312" w:eastAsia="仿宋_GB2312" w:cs="Times New Roman"/>
          <w:sz w:val="32"/>
          <w:szCs w:val="32"/>
        </w:rPr>
        <w:t>外资十条</w:t>
      </w:r>
      <w:r>
        <w:rPr>
          <w:rFonts w:ascii="Times New Roman" w:hAnsi="Times New Roman" w:eastAsia="仿宋_GB2312" w:cs="Times New Roman"/>
          <w:sz w:val="32"/>
          <w:szCs w:val="32"/>
        </w:rPr>
        <w:t>”</w:t>
      </w:r>
      <w:r>
        <w:rPr>
          <w:rFonts w:ascii="Times New Roman" w:hAnsi="仿宋_GB2312" w:eastAsia="仿宋_GB2312" w:cs="Times New Roman"/>
          <w:sz w:val="32"/>
          <w:szCs w:val="32"/>
        </w:rPr>
        <w:t>，加大外资项目扶持力度。</w:t>
      </w:r>
    </w:p>
    <w:bookmarkEnd w:id="104"/>
    <w:bookmarkEnd w:id="105"/>
    <w:bookmarkEnd w:id="106"/>
    <w:bookmarkEnd w:id="107"/>
    <w:p>
      <w:pPr>
        <w:pStyle w:val="3"/>
        <w:spacing w:line="560" w:lineRule="exact"/>
        <w:jc w:val="center"/>
        <w:rPr>
          <w:rFonts w:ascii="Times New Roman" w:hAnsi="Times New Roman" w:eastAsia="楷体_GB2312"/>
          <w:b w:val="0"/>
        </w:rPr>
      </w:pPr>
      <w:bookmarkStart w:id="109" w:name="_Toc61946330"/>
      <w:r>
        <w:rPr>
          <w:rFonts w:ascii="Times New Roman" w:hAnsi="Times New Roman" w:eastAsia="楷体_GB2312"/>
          <w:b w:val="0"/>
        </w:rPr>
        <w:t>第三节 积极扩大有效投资</w:t>
      </w:r>
      <w:bookmarkEnd w:id="109"/>
    </w:p>
    <w:p>
      <w:pPr>
        <w:spacing w:line="560" w:lineRule="exact"/>
        <w:ind w:firstLine="643" w:firstLineChars="200"/>
        <w:jc w:val="both"/>
        <w:rPr>
          <w:rFonts w:ascii="Times New Roman" w:hAnsi="Times New Roman" w:eastAsia="仿宋_GB2312" w:cs="Times New Roman"/>
          <w:sz w:val="32"/>
          <w:szCs w:val="32"/>
        </w:rPr>
      </w:pPr>
      <w:r>
        <w:rPr>
          <w:rFonts w:ascii="Times New Roman" w:eastAsia="仿宋_GB2312" w:cs="Times New Roman"/>
          <w:b/>
          <w:sz w:val="32"/>
          <w:szCs w:val="32"/>
        </w:rPr>
        <w:t>积极稳定有效投资增长。</w:t>
      </w:r>
      <w:r>
        <w:rPr>
          <w:rFonts w:ascii="Times New Roman" w:hAnsi="Times New Roman" w:eastAsia="仿宋_GB2312" w:cs="Times New Roman"/>
          <w:sz w:val="32"/>
          <w:szCs w:val="32"/>
        </w:rPr>
        <w:t>积极落实江门升级版“三个千亿</w:t>
      </w:r>
      <w:r>
        <w:rPr>
          <w:rFonts w:hint="eastAsia" w:ascii="Times New Roman" w:hAnsi="Times New Roman" w:eastAsia="仿宋_GB2312" w:cs="Times New Roman"/>
          <w:sz w:val="32"/>
          <w:szCs w:val="32"/>
          <w:lang w:eastAsia="zh-CN"/>
        </w:rPr>
        <w:t>投资</w:t>
      </w:r>
      <w:r>
        <w:rPr>
          <w:rFonts w:ascii="Times New Roman" w:hAnsi="Times New Roman" w:eastAsia="仿宋_GB2312" w:cs="Times New Roman"/>
          <w:sz w:val="32"/>
          <w:szCs w:val="32"/>
        </w:rPr>
        <w:t>计划”，推动工业</w:t>
      </w:r>
      <w:r>
        <w:rPr>
          <w:rFonts w:hint="eastAsia" w:ascii="Times New Roman" w:hAnsi="Times New Roman" w:eastAsia="仿宋_GB2312" w:cs="Times New Roman"/>
          <w:sz w:val="32"/>
          <w:szCs w:val="32"/>
          <w:lang w:eastAsia="zh-CN"/>
        </w:rPr>
        <w:t>投</w:t>
      </w:r>
      <w:r>
        <w:rPr>
          <w:rFonts w:ascii="Times New Roman" w:hAnsi="Times New Roman" w:eastAsia="仿宋_GB2312" w:cs="Times New Roman"/>
          <w:sz w:val="32"/>
          <w:szCs w:val="32"/>
        </w:rPr>
        <w:t>、交通基础设施、城市建设“三大板块”稳增长，力争“十四五”时期全社会固定资产投资超3000亿元。以重大产业项目建设带动工业投资，建成亚太森博增资扩产等一批重大项目。持续提高工业投资质量和效益，支持工业企业实施新一轮技术改造，力争“十四五”时期完成工业投资超1200亿元。充分发挥政府投资引领，重点保障重大项目建设，不断提高政府投资质量和效能。充分发挥市场在资源配置的决定性作用，大力激发民间投资活力。</w:t>
      </w:r>
    </w:p>
    <w:p>
      <w:pPr>
        <w:spacing w:line="560" w:lineRule="exact"/>
        <w:ind w:firstLine="643" w:firstLineChars="200"/>
        <w:jc w:val="both"/>
        <w:rPr>
          <w:rFonts w:ascii="Times New Roman" w:hAnsi="Times New Roman" w:eastAsia="仿宋_GB2312" w:cs="Times New Roman"/>
          <w:sz w:val="32"/>
          <w:szCs w:val="32"/>
        </w:rPr>
      </w:pPr>
      <w:r>
        <w:rPr>
          <w:rFonts w:ascii="Times New Roman" w:eastAsia="仿宋_GB2312" w:cs="Times New Roman"/>
          <w:b/>
          <w:sz w:val="32"/>
          <w:szCs w:val="32"/>
        </w:rPr>
        <w:t>加大重点领域投资力度。</w:t>
      </w:r>
      <w:r>
        <w:rPr>
          <w:rFonts w:ascii="Times New Roman" w:eastAsia="仿宋_GB2312" w:cs="Times New Roman"/>
          <w:sz w:val="32"/>
          <w:szCs w:val="32"/>
        </w:rPr>
        <w:t>瞄准未来产业和新经济发展需求，大力发展</w:t>
      </w:r>
      <w:r>
        <w:rPr>
          <w:rFonts w:ascii="Times New Roman" w:hAnsi="Times New Roman" w:eastAsia="仿宋_GB2312" w:cs="Times New Roman"/>
          <w:sz w:val="32"/>
          <w:szCs w:val="32"/>
        </w:rPr>
        <w:t>5G</w:t>
      </w:r>
      <w:r>
        <w:rPr>
          <w:rFonts w:ascii="Times New Roman" w:eastAsia="仿宋_GB2312" w:cs="Times New Roman"/>
          <w:sz w:val="32"/>
          <w:szCs w:val="32"/>
        </w:rPr>
        <w:t>、智慧能源、大数据中心等</w:t>
      </w:r>
      <w:r>
        <w:rPr>
          <w:rFonts w:ascii="Times New Roman" w:hAnsi="Times New Roman" w:eastAsia="仿宋_GB2312" w:cs="Times New Roman"/>
          <w:sz w:val="32"/>
          <w:szCs w:val="32"/>
        </w:rPr>
        <w:t>“</w:t>
      </w:r>
      <w:r>
        <w:rPr>
          <w:rFonts w:ascii="Times New Roman" w:eastAsia="仿宋_GB2312" w:cs="Times New Roman"/>
          <w:sz w:val="32"/>
          <w:szCs w:val="32"/>
        </w:rPr>
        <w:t>新基建</w:t>
      </w:r>
      <w:r>
        <w:rPr>
          <w:rFonts w:ascii="Times New Roman" w:hAnsi="Times New Roman" w:eastAsia="仿宋_GB2312" w:cs="Times New Roman"/>
          <w:sz w:val="32"/>
          <w:szCs w:val="32"/>
        </w:rPr>
        <w:t>”</w:t>
      </w:r>
      <w:r>
        <w:rPr>
          <w:rFonts w:ascii="Times New Roman" w:eastAsia="仿宋_GB2312" w:cs="Times New Roman"/>
          <w:sz w:val="32"/>
          <w:szCs w:val="32"/>
        </w:rPr>
        <w:t>。围绕新型城镇化带动，加快教育、医疗、安全、文化、体育公共设施建设和服务能力提升。谋划重点能源保障、轨道和高快速路、水利等项目，争取有效投资优结构、提质量、上效益。</w:t>
      </w:r>
    </w:p>
    <w:p>
      <w:pPr>
        <w:spacing w:line="560" w:lineRule="exact"/>
        <w:ind w:firstLine="643" w:firstLineChars="200"/>
        <w:jc w:val="both"/>
        <w:rPr>
          <w:rFonts w:ascii="Times New Roman" w:hAnsi="Times New Roman" w:eastAsia="仿宋_GB2312" w:cs="Times New Roman"/>
          <w:sz w:val="32"/>
          <w:szCs w:val="32"/>
        </w:rPr>
      </w:pPr>
      <w:r>
        <w:rPr>
          <w:rFonts w:ascii="Times New Roman" w:eastAsia="仿宋_GB2312" w:cs="Times New Roman"/>
          <w:b/>
          <w:sz w:val="32"/>
          <w:szCs w:val="32"/>
        </w:rPr>
        <w:t>加大招商引资力度。</w:t>
      </w:r>
      <w:r>
        <w:rPr>
          <w:rFonts w:ascii="Times New Roman" w:eastAsia="仿宋_GB2312" w:cs="Times New Roman"/>
          <w:sz w:val="32"/>
          <w:szCs w:val="32"/>
        </w:rPr>
        <w:t>依托重点产业和园区，主动对接</w:t>
      </w:r>
      <w:r>
        <w:rPr>
          <w:rFonts w:ascii="Times New Roman" w:hAnsi="Times New Roman" w:eastAsia="仿宋_GB2312" w:cs="Times New Roman"/>
          <w:sz w:val="32"/>
          <w:szCs w:val="32"/>
        </w:rPr>
        <w:t>“</w:t>
      </w:r>
      <w:r>
        <w:rPr>
          <w:rFonts w:ascii="Times New Roman" w:eastAsia="仿宋_GB2312" w:cs="Times New Roman"/>
          <w:sz w:val="32"/>
          <w:szCs w:val="32"/>
        </w:rPr>
        <w:t>双城</w:t>
      </w:r>
      <w:r>
        <w:rPr>
          <w:rFonts w:ascii="Times New Roman" w:hAnsi="Times New Roman" w:eastAsia="仿宋_GB2312" w:cs="Times New Roman"/>
          <w:sz w:val="32"/>
          <w:szCs w:val="32"/>
        </w:rPr>
        <w:t>”</w:t>
      </w:r>
      <w:r>
        <w:rPr>
          <w:rFonts w:ascii="Times New Roman" w:eastAsia="仿宋_GB2312" w:cs="Times New Roman"/>
          <w:sz w:val="32"/>
          <w:szCs w:val="32"/>
        </w:rPr>
        <w:t>联动，搭建联系广佛、深圳、港澳等招商引资平台，开展产业链招商。发挥招商引资大联盟作用，深挖各类项目线索，主动对接洽谈。充分发挥侨商资源优势以及各类商会协会信息、人脉优势，开展以商招商，积极在线推介活动。</w:t>
      </w:r>
    </w:p>
    <w:p>
      <w:pPr>
        <w:pStyle w:val="3"/>
        <w:spacing w:line="560" w:lineRule="exact"/>
        <w:jc w:val="center"/>
        <w:rPr>
          <w:rFonts w:ascii="Times New Roman" w:hAnsi="Times New Roman" w:eastAsia="楷体_GB2312"/>
          <w:b w:val="0"/>
        </w:rPr>
      </w:pPr>
      <w:bookmarkStart w:id="110" w:name="_Toc60738028"/>
      <w:bookmarkStart w:id="111" w:name="_Toc61946331"/>
      <w:bookmarkStart w:id="112" w:name="_Toc9813"/>
      <w:bookmarkStart w:id="113" w:name="_Toc1564"/>
      <w:bookmarkStart w:id="114" w:name="_Toc17877"/>
      <w:r>
        <w:rPr>
          <w:rFonts w:ascii="Times New Roman" w:hAnsi="Times New Roman" w:eastAsia="楷体_GB2312"/>
          <w:b w:val="0"/>
        </w:rPr>
        <w:t>第四节 深挖消费潜力释放</w:t>
      </w:r>
      <w:bookmarkEnd w:id="110"/>
      <w:bookmarkEnd w:id="111"/>
      <w:bookmarkEnd w:id="112"/>
      <w:bookmarkEnd w:id="113"/>
      <w:bookmarkEnd w:id="114"/>
    </w:p>
    <w:p>
      <w:pPr>
        <w:spacing w:line="560" w:lineRule="exact"/>
        <w:ind w:firstLine="643" w:firstLineChars="200"/>
        <w:jc w:val="both"/>
        <w:rPr>
          <w:rFonts w:ascii="Times New Roman" w:hAnsi="Times New Roman" w:eastAsia="仿宋_GB2312" w:cs="Times New Roman"/>
          <w:sz w:val="32"/>
          <w:szCs w:val="32"/>
        </w:rPr>
      </w:pPr>
      <w:r>
        <w:rPr>
          <w:rFonts w:ascii="Times New Roman" w:eastAsia="仿宋_GB2312" w:cs="Times New Roman"/>
          <w:b/>
          <w:sz w:val="32"/>
          <w:szCs w:val="32"/>
        </w:rPr>
        <w:t>打造区域消费中心。</w:t>
      </w:r>
      <w:r>
        <w:rPr>
          <w:rFonts w:ascii="Times New Roman" w:eastAsia="仿宋_GB2312" w:cs="Times New Roman"/>
          <w:sz w:val="32"/>
          <w:szCs w:val="32"/>
        </w:rPr>
        <w:t>积极开拓城乡消费市场，持续优化旧城区商圈，精心打造</w:t>
      </w:r>
      <w:r>
        <w:rPr>
          <w:rFonts w:hint="eastAsia" w:ascii="Times New Roman" w:eastAsia="仿宋_GB2312" w:cs="Times New Roman"/>
          <w:sz w:val="32"/>
          <w:szCs w:val="32"/>
          <w:lang w:eastAsia="zh-CN"/>
        </w:rPr>
        <w:t>珠西</w:t>
      </w:r>
      <w:r>
        <w:rPr>
          <w:rFonts w:ascii="Times New Roman" w:eastAsia="仿宋_GB2312" w:cs="Times New Roman"/>
          <w:sz w:val="32"/>
          <w:szCs w:val="32"/>
        </w:rPr>
        <w:t>枢纽新城中央商务区，</w:t>
      </w:r>
      <w:r>
        <w:rPr>
          <w:rFonts w:ascii="Times New Roman" w:hAnsi="仿宋_GB2312" w:eastAsia="仿宋_GB2312" w:cs="Times New Roman"/>
          <w:sz w:val="32"/>
          <w:szCs w:val="32"/>
        </w:rPr>
        <w:t>提振</w:t>
      </w:r>
      <w:r>
        <w:rPr>
          <w:rFonts w:ascii="Times New Roman" w:hAnsi="Times New Roman" w:eastAsia="仿宋_GB2312" w:cs="Times New Roman"/>
          <w:sz w:val="32"/>
          <w:szCs w:val="32"/>
        </w:rPr>
        <w:t>“</w:t>
      </w:r>
      <w:r>
        <w:rPr>
          <w:rFonts w:ascii="Times New Roman" w:hAnsi="仿宋_GB2312" w:eastAsia="仿宋_GB2312" w:cs="Times New Roman"/>
          <w:sz w:val="32"/>
          <w:szCs w:val="32"/>
        </w:rPr>
        <w:t>万达－美吉特－步行街</w:t>
      </w:r>
      <w:r>
        <w:rPr>
          <w:rFonts w:ascii="Times New Roman" w:hAnsi="Times New Roman" w:eastAsia="仿宋_GB2312" w:cs="Times New Roman"/>
          <w:sz w:val="32"/>
          <w:szCs w:val="32"/>
        </w:rPr>
        <w:t>”</w:t>
      </w:r>
      <w:r>
        <w:rPr>
          <w:rFonts w:ascii="Times New Roman" w:hAnsi="仿宋_GB2312" w:eastAsia="仿宋_GB2312" w:cs="Times New Roman"/>
          <w:sz w:val="32"/>
          <w:szCs w:val="32"/>
        </w:rPr>
        <w:t>商圈。</w:t>
      </w:r>
      <w:r>
        <w:rPr>
          <w:rFonts w:ascii="Times New Roman" w:eastAsia="仿宋_GB2312" w:cs="Times New Roman"/>
          <w:sz w:val="32"/>
          <w:szCs w:val="32"/>
        </w:rPr>
        <w:t>大力发展夜间经济，培育形成一批夜间经济集聚区。打造一批镇级商业综合体，释放镇村消费市场活力。开拓农村消费市场，健全农村流通网络体系，推动农村居民吃穿住行等消费升级。多渠道扩大国内消费市场，组织企业出口产品定向开拓内销市场。</w:t>
      </w:r>
      <w:r>
        <w:rPr>
          <w:rFonts w:ascii="Times New Roman" w:hAnsi="仿宋_GB2312" w:eastAsia="仿宋_GB2312" w:cs="Times New Roman"/>
          <w:sz w:val="32"/>
          <w:szCs w:val="32"/>
        </w:rPr>
        <w:t>推动社区商贸服务便利化，构建布局合理、业态丰富的现代商业服务网络。</w:t>
      </w:r>
      <w:r>
        <w:rPr>
          <w:rFonts w:ascii="Times New Roman" w:eastAsia="仿宋_GB2312" w:cs="Times New Roman"/>
          <w:sz w:val="32"/>
          <w:szCs w:val="32"/>
        </w:rPr>
        <w:t>落实带薪休假制度，扩大节假日消费。改善消费环境，强化消费者权益保护。</w:t>
      </w:r>
    </w:p>
    <w:p>
      <w:pPr>
        <w:spacing w:line="560" w:lineRule="exact"/>
        <w:ind w:firstLine="643" w:firstLineChars="200"/>
        <w:jc w:val="both"/>
        <w:rPr>
          <w:rFonts w:ascii="Times New Roman" w:hAnsi="Times New Roman" w:eastAsia="仿宋_GB2312" w:cs="Times New Roman"/>
          <w:sz w:val="32"/>
          <w:szCs w:val="32"/>
        </w:rPr>
      </w:pPr>
      <w:r>
        <w:rPr>
          <w:rFonts w:ascii="Times New Roman" w:eastAsia="仿宋_GB2312" w:cs="Times New Roman"/>
          <w:b/>
          <w:sz w:val="32"/>
          <w:szCs w:val="32"/>
        </w:rPr>
        <w:t>积极培育新型消费。</w:t>
      </w:r>
      <w:r>
        <w:rPr>
          <w:rFonts w:ascii="Times New Roman" w:eastAsia="仿宋_GB2312" w:cs="Times New Roman"/>
          <w:sz w:val="32"/>
          <w:szCs w:val="32"/>
        </w:rPr>
        <w:t>结合群众消费升级需求，积极培育信息、文化、教育、健康、旅游、养老等领域的新消费增长点，深挖新兴服务消费和中高端服务消费潜力，增加高品质产品和服务供给，扩大优质消费品进口，积极满足群众中高端消费需求。加快建设农村电商生态圈，积极培育网络消费、微商电商、直播带货等新业态，推动线上线下消费融合。</w:t>
      </w:r>
    </w:p>
    <w:p>
      <w:pPr>
        <w:spacing w:line="560" w:lineRule="exact"/>
        <w:ind w:firstLine="643" w:firstLineChars="200"/>
        <w:jc w:val="both"/>
        <w:rPr>
          <w:rFonts w:ascii="Times New Roman" w:hAnsi="Times New Roman" w:eastAsia="仿宋_GB2312" w:cs="Times New Roman"/>
          <w:b/>
          <w:sz w:val="32"/>
          <w:szCs w:val="32"/>
        </w:rPr>
      </w:pPr>
      <w:r>
        <w:rPr>
          <w:rFonts w:ascii="Times New Roman" w:eastAsia="仿宋_GB2312" w:cs="Times New Roman"/>
          <w:b/>
          <w:sz w:val="32"/>
          <w:szCs w:val="32"/>
        </w:rPr>
        <w:t>促进传统消费提档升级。</w:t>
      </w:r>
      <w:r>
        <w:rPr>
          <w:rFonts w:ascii="Times New Roman" w:eastAsia="仿宋_GB2312" w:cs="Times New Roman"/>
          <w:bCs/>
          <w:sz w:val="32"/>
          <w:szCs w:val="32"/>
        </w:rPr>
        <w:t>培育区域性专业市场，扩大汽车、住房、家电等大宗消费。深度挖掘老字号历史文化，开发老字号商业资源，引导具有自主知识产权、浓郁侨乡文化和独特制作技艺的老字号品牌加快创新发展。积极培育国产高端消费品牌，布局发展中高端供给。加快推进农贸市场升级改造及市场周边环境治理。深化区域经贸交流合作，多渠道扩大国内消费市场，组织产业出口产品定向开拓内销市场，进一步提升企业和产品的竞争力。合理增加公共消费，提高公共服务支出效率。</w:t>
      </w:r>
    </w:p>
    <w:p>
      <w:pPr>
        <w:pStyle w:val="2"/>
        <w:spacing w:line="560" w:lineRule="exact"/>
        <w:rPr>
          <w:rFonts w:ascii="Times New Roman" w:hAnsi="Times New Roman"/>
          <w:b w:val="0"/>
          <w:szCs w:val="32"/>
        </w:rPr>
      </w:pPr>
      <w:r>
        <w:rPr>
          <w:rFonts w:ascii="Times New Roman" w:hAnsi="Times New Roman"/>
          <w:szCs w:val="32"/>
        </w:rPr>
        <w:br w:type="page"/>
      </w:r>
      <w:bookmarkStart w:id="115" w:name="_Toc60738032"/>
      <w:bookmarkStart w:id="116" w:name="_Toc28612"/>
      <w:bookmarkStart w:id="117" w:name="_Toc12344"/>
      <w:bookmarkStart w:id="118" w:name="_Toc26912"/>
      <w:bookmarkStart w:id="119" w:name="_Toc61946332"/>
      <w:r>
        <w:rPr>
          <w:rFonts w:ascii="Times New Roman"/>
          <w:b w:val="0"/>
          <w:szCs w:val="32"/>
        </w:rPr>
        <w:t>第六章</w:t>
      </w:r>
      <w:bookmarkEnd w:id="115"/>
      <w:r>
        <w:rPr>
          <w:rFonts w:hint="eastAsia" w:ascii="Times New Roman"/>
          <w:b w:val="0"/>
          <w:szCs w:val="32"/>
          <w:lang w:val="en-US" w:eastAsia="zh-CN"/>
        </w:rPr>
        <w:t xml:space="preserve"> </w:t>
      </w:r>
      <w:r>
        <w:rPr>
          <w:rFonts w:ascii="Times New Roman"/>
          <w:b w:val="0"/>
          <w:szCs w:val="32"/>
        </w:rPr>
        <w:t>全面融入</w:t>
      </w:r>
      <w:r>
        <w:rPr>
          <w:rFonts w:ascii="Times New Roman" w:hAnsi="Times New Roman"/>
          <w:b w:val="0"/>
          <w:szCs w:val="32"/>
        </w:rPr>
        <w:t>“</w:t>
      </w:r>
      <w:r>
        <w:rPr>
          <w:rFonts w:ascii="Times New Roman"/>
          <w:b w:val="0"/>
          <w:szCs w:val="32"/>
        </w:rPr>
        <w:t>双区</w:t>
      </w:r>
      <w:r>
        <w:rPr>
          <w:rFonts w:ascii="Times New Roman" w:hAnsi="Times New Roman"/>
          <w:b w:val="0"/>
          <w:szCs w:val="32"/>
        </w:rPr>
        <w:t>”</w:t>
      </w:r>
      <w:r>
        <w:rPr>
          <w:rFonts w:ascii="Times New Roman"/>
          <w:b w:val="0"/>
          <w:szCs w:val="32"/>
        </w:rPr>
        <w:t>建设</w:t>
      </w:r>
      <w:r>
        <w:rPr>
          <w:rFonts w:hint="eastAsia" w:ascii="Times New Roman"/>
          <w:b w:val="0"/>
          <w:szCs w:val="32"/>
          <w:lang w:val="en-US" w:eastAsia="zh-CN"/>
        </w:rPr>
        <w:t xml:space="preserve"> </w:t>
      </w:r>
      <w:r>
        <w:rPr>
          <w:rFonts w:ascii="Times New Roman"/>
          <w:b w:val="0"/>
          <w:szCs w:val="32"/>
        </w:rPr>
        <w:t>深入推动区域协调发展</w:t>
      </w:r>
      <w:bookmarkEnd w:id="116"/>
      <w:bookmarkEnd w:id="117"/>
      <w:bookmarkEnd w:id="118"/>
      <w:bookmarkEnd w:id="119"/>
    </w:p>
    <w:bookmarkEnd w:id="45"/>
    <w:bookmarkEnd w:id="46"/>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粤港澳大湾区建设为“纲”，主动承担江门对接“双区”建设战略主战场使命，立足珠西综合交通枢纽区位优势，找准契合点和突破点，为国家发展大局提供更有利支撑。积极融入省“一核一带一区”和市“三区并进”区域发展格局，高质量构建“一带两核三组团”空间布局，为现代化建设拓展新空间。</w:t>
      </w:r>
    </w:p>
    <w:p>
      <w:pPr>
        <w:pStyle w:val="3"/>
        <w:spacing w:line="560" w:lineRule="exact"/>
        <w:jc w:val="center"/>
        <w:rPr>
          <w:rFonts w:ascii="Times New Roman" w:hAnsi="Times New Roman" w:eastAsia="楷体_GB2312"/>
          <w:b w:val="0"/>
        </w:rPr>
      </w:pPr>
      <w:bookmarkStart w:id="120" w:name="_Toc61946333"/>
      <w:bookmarkStart w:id="121" w:name="_Toc27819"/>
      <w:bookmarkStart w:id="122" w:name="_Toc2311"/>
      <w:bookmarkStart w:id="123" w:name="_Toc32068"/>
      <w:bookmarkStart w:id="124" w:name="_Toc22577"/>
      <w:bookmarkStart w:id="125" w:name="_Toc60738033"/>
      <w:r>
        <w:rPr>
          <w:rFonts w:ascii="Times New Roman" w:hAnsi="Times New Roman" w:eastAsia="楷体_GB2312"/>
          <w:b w:val="0"/>
        </w:rPr>
        <w:t>第一节 全力投入“双区”建设</w:t>
      </w:r>
      <w:bookmarkEnd w:id="120"/>
    </w:p>
    <w:p>
      <w:pPr>
        <w:spacing w:line="560" w:lineRule="exact"/>
        <w:ind w:firstLine="643" w:firstLineChars="200"/>
        <w:rPr>
          <w:rFonts w:ascii="Times New Roman" w:hAnsi="Times New Roman" w:eastAsia="仿宋_GB2312" w:cs="Times New Roman"/>
          <w:b/>
          <w:bCs/>
          <w:sz w:val="32"/>
          <w:szCs w:val="32"/>
        </w:rPr>
      </w:pPr>
      <w:r>
        <w:rPr>
          <w:rFonts w:ascii="Times New Roman" w:hAnsi="仿宋_GB2312" w:eastAsia="仿宋_GB2312" w:cs="Times New Roman"/>
          <w:b/>
          <w:bCs/>
          <w:sz w:val="32"/>
          <w:szCs w:val="32"/>
        </w:rPr>
        <w:t>深化湾区</w:t>
      </w:r>
      <w:r>
        <w:rPr>
          <w:rFonts w:ascii="Times New Roman" w:hAnsi="Times New Roman" w:eastAsia="仿宋_GB2312" w:cs="Times New Roman"/>
          <w:b/>
          <w:bCs/>
          <w:sz w:val="32"/>
          <w:szCs w:val="32"/>
        </w:rPr>
        <w:t>“</w:t>
      </w:r>
      <w:r>
        <w:rPr>
          <w:rFonts w:ascii="Times New Roman" w:hAnsi="仿宋_GB2312" w:eastAsia="仿宋_GB2312" w:cs="Times New Roman"/>
          <w:b/>
          <w:bCs/>
          <w:sz w:val="32"/>
          <w:szCs w:val="32"/>
        </w:rPr>
        <w:t>硬联通</w:t>
      </w:r>
      <w:r>
        <w:rPr>
          <w:rFonts w:ascii="Times New Roman" w:hAnsi="Times New Roman" w:eastAsia="仿宋_GB2312" w:cs="Times New Roman"/>
          <w:b/>
          <w:bCs/>
          <w:sz w:val="32"/>
          <w:szCs w:val="32"/>
        </w:rPr>
        <w:t>”“</w:t>
      </w:r>
      <w:r>
        <w:rPr>
          <w:rFonts w:ascii="Times New Roman" w:hAnsi="仿宋_GB2312" w:eastAsia="仿宋_GB2312" w:cs="Times New Roman"/>
          <w:b/>
          <w:bCs/>
          <w:sz w:val="32"/>
          <w:szCs w:val="32"/>
        </w:rPr>
        <w:t>软对接</w:t>
      </w:r>
      <w:r>
        <w:rPr>
          <w:rFonts w:ascii="Times New Roman" w:hAnsi="Times New Roman" w:eastAsia="仿宋_GB2312" w:cs="Times New Roman"/>
          <w:b/>
          <w:bCs/>
          <w:sz w:val="32"/>
          <w:szCs w:val="32"/>
        </w:rPr>
        <w:t>”</w:t>
      </w:r>
      <w:r>
        <w:rPr>
          <w:rFonts w:ascii="Times New Roman" w:hAnsi="仿宋_GB2312" w:eastAsia="仿宋_GB2312" w:cs="Times New Roman"/>
          <w:b/>
          <w:bCs/>
          <w:sz w:val="32"/>
          <w:szCs w:val="32"/>
        </w:rPr>
        <w:t>。</w:t>
      </w:r>
      <w:r>
        <w:rPr>
          <w:rFonts w:ascii="Times New Roman" w:hAnsi="仿宋_GB2312" w:eastAsia="仿宋_GB2312" w:cs="Times New Roman"/>
          <w:bCs/>
          <w:sz w:val="32"/>
          <w:szCs w:val="32"/>
        </w:rPr>
        <w:t>强化基础设施</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硬联通</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。加快与大湾区核心城市交通基础设施互联互通进程，全力打造珠西客运枢纽，加快实现东西贯通、南北终到对外战略通道。主动融入</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轨道上的大湾区</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，构筑新会</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广佛</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半小时轨道交通经济圈</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。加快建设崖门出海航道二期等重大交通工程，提高新会港一体化运作水平，大力发展水水、水陆、铁水等联运模式，推动与深圳建立海空港经济联系。积极参与大湾区世界级港口群建设。密切机制规则</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软联通</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，大力实施</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湾区通</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工程，围绕医疗卫生、养老服务、资格认可、社会保障等重点领域开展合作。积极扩大服务业开放，鼓励港澳专业人士来新会执业创业。积极参与</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湾区标准</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建设，引导新会陈皮、南美白对虾等农特产品主动对接大湾区食品检验监测、知识产权教育等服务平台。</w:t>
      </w:r>
    </w:p>
    <w:p>
      <w:pPr>
        <w:spacing w:line="560" w:lineRule="exact"/>
        <w:ind w:firstLine="643" w:firstLineChars="200"/>
        <w:rPr>
          <w:rFonts w:ascii="Times New Roman" w:hAnsi="Times New Roman" w:eastAsia="仿宋_GB2312" w:cs="Times New Roman"/>
          <w:b/>
          <w:bCs/>
          <w:color w:val="FF0000"/>
          <w:sz w:val="32"/>
          <w:szCs w:val="32"/>
        </w:rPr>
      </w:pPr>
      <w:r>
        <w:rPr>
          <w:rFonts w:ascii="Times New Roman" w:hAnsi="仿宋_GB2312" w:eastAsia="仿宋_GB2312" w:cs="Times New Roman"/>
          <w:b/>
          <w:bCs/>
          <w:sz w:val="32"/>
          <w:szCs w:val="32"/>
        </w:rPr>
        <w:t>深化与港澳多元合作。</w:t>
      </w:r>
      <w:r>
        <w:rPr>
          <w:rFonts w:ascii="Times New Roman" w:hAnsi="仿宋_GB2312" w:eastAsia="仿宋_GB2312" w:cs="Times New Roman"/>
          <w:bCs/>
          <w:sz w:val="32"/>
          <w:szCs w:val="32"/>
        </w:rPr>
        <w:t>拓展产业合作空间，发挥特色平台</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强支撑</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，高标准推进银湖湾滨海新区、</w:t>
      </w:r>
      <w:r>
        <w:rPr>
          <w:rFonts w:hint="eastAsia" w:ascii="Times New Roman" w:hAnsi="仿宋_GB2312" w:eastAsia="仿宋_GB2312" w:cs="Times New Roman"/>
          <w:bCs/>
          <w:sz w:val="32"/>
          <w:szCs w:val="32"/>
          <w:lang w:eastAsia="zh-CN"/>
        </w:rPr>
        <w:t>珠西</w:t>
      </w:r>
      <w:r>
        <w:rPr>
          <w:rFonts w:ascii="Times New Roman" w:hAnsi="仿宋_GB2312" w:eastAsia="仿宋_GB2312" w:cs="Times New Roman"/>
          <w:bCs/>
          <w:sz w:val="32"/>
          <w:szCs w:val="32"/>
        </w:rPr>
        <w:t>枢纽新城建设。高水平建设粤澳（江门）产业合作示范区，积极参与港澳清洁生产伙伴计划，探索在污染联防联治、固体废物再生循环利用等方面开展合作。合作开发多元旅游产品体系，携手推进粤港澳大湾区文化遗产游径建设，开发粤港澳大湾区城市群</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一程多站</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旅游产品。支持港澳居民在新会就业创业。结合国家级医养结合试点工作，积极吸引港澳及国外优质医养结合项目落户。</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全面对接广深“双城”联动。</w:t>
      </w:r>
      <w:r>
        <w:rPr>
          <w:rFonts w:ascii="Times New Roman" w:hAnsi="Times New Roman" w:eastAsia="仿宋_GB2312" w:cs="Times New Roman"/>
          <w:bCs/>
          <w:sz w:val="32"/>
          <w:szCs w:val="32"/>
        </w:rPr>
        <w:t>支持深圳建设中国特色社会主义先行示范区。</w:t>
      </w:r>
      <w:r>
        <w:rPr>
          <w:rFonts w:ascii="Times New Roman" w:hAnsi="Times New Roman" w:eastAsia="仿宋_GB2312" w:cs="Times New Roman"/>
          <w:sz w:val="32"/>
          <w:szCs w:val="32"/>
        </w:rPr>
        <w:t>主动对接深中发展轴，积极参与珠江口东西两岸融合发展。积极</w:t>
      </w:r>
      <w:r>
        <w:rPr>
          <w:rFonts w:ascii="Times New Roman" w:hAnsi="Times New Roman" w:eastAsia="仿宋_GB2312" w:cs="Times New Roman"/>
          <w:bCs/>
          <w:sz w:val="32"/>
          <w:szCs w:val="32"/>
        </w:rPr>
        <w:t>利用深圳强大创新驱动能力</w:t>
      </w:r>
      <w:r>
        <w:rPr>
          <w:rFonts w:ascii="Times New Roman" w:hAnsi="Times New Roman" w:eastAsia="仿宋_GB2312" w:cs="Times New Roman"/>
          <w:sz w:val="32"/>
          <w:szCs w:val="32"/>
        </w:rPr>
        <w:t>，引导深圳创新资源精准服务新会产业链发展。积极承接制造业转移和高端服务功能溢出，推动深江产业园与深圳开展人工智能、大健康新医疗、光电子激光、新一代信息技术、新材料等未来产业领域的科技成果产业化合作。探索形成“深圳总部+江门基地”“深圳研发+江门制造”等合作模式。联动广州都市圈</w:t>
      </w:r>
      <w:r>
        <w:rPr>
          <w:rFonts w:ascii="Times New Roman" w:hAnsi="Times New Roman" w:eastAsia="仿宋_GB2312" w:cs="Times New Roman"/>
          <w:bCs/>
          <w:sz w:val="32"/>
          <w:szCs w:val="32"/>
        </w:rPr>
        <w:t>，充分发挥江门站轨道交通枢纽的集散和辐射作用，</w:t>
      </w:r>
      <w:r>
        <w:rPr>
          <w:rFonts w:ascii="Times New Roman" w:hAnsi="Times New Roman" w:eastAsia="仿宋_GB2312" w:cs="Times New Roman"/>
          <w:sz w:val="32"/>
          <w:szCs w:val="32"/>
        </w:rPr>
        <w:t>构筑高水平区域产业分工协作体系。以广东轨道交通产业园为载体，深化与广州在城市轨道交通车辆、轨道交通专用设备、关键系统及部件等领域合作。</w:t>
      </w:r>
    </w:p>
    <w:bookmarkEnd w:id="121"/>
    <w:bookmarkEnd w:id="122"/>
    <w:bookmarkEnd w:id="123"/>
    <w:bookmarkEnd w:id="124"/>
    <w:bookmarkEnd w:id="125"/>
    <w:p>
      <w:pPr>
        <w:pStyle w:val="3"/>
        <w:spacing w:line="560" w:lineRule="exact"/>
        <w:jc w:val="center"/>
        <w:rPr>
          <w:rFonts w:ascii="Times New Roman" w:hAnsi="Times New Roman" w:eastAsia="楷体_GB2312"/>
          <w:b w:val="0"/>
        </w:rPr>
      </w:pPr>
      <w:bookmarkStart w:id="126" w:name="_Toc61946334"/>
      <w:bookmarkStart w:id="127" w:name="_Toc27276"/>
      <w:bookmarkStart w:id="128" w:name="_Toc60738034"/>
      <w:bookmarkStart w:id="129" w:name="_Toc4687"/>
      <w:bookmarkStart w:id="130" w:name="_Toc2301"/>
      <w:r>
        <w:rPr>
          <w:rFonts w:ascii="Times New Roman" w:hAnsi="Times New Roman" w:eastAsia="楷体_GB2312"/>
          <w:b w:val="0"/>
        </w:rPr>
        <w:t>第二节 积极推进“三区并进”</w:t>
      </w:r>
      <w:bookmarkEnd w:id="126"/>
      <w:bookmarkEnd w:id="127"/>
      <w:bookmarkEnd w:id="128"/>
      <w:bookmarkEnd w:id="129"/>
      <w:bookmarkEnd w:id="130"/>
    </w:p>
    <w:p>
      <w:pPr>
        <w:spacing w:line="560" w:lineRule="exact"/>
        <w:ind w:firstLine="643" w:firstLineChars="200"/>
        <w:jc w:val="both"/>
        <w:rPr>
          <w:rFonts w:ascii="Times New Roman" w:hAnsi="Times New Roman" w:eastAsia="仿宋_GB2312" w:cs="Times New Roman"/>
          <w:sz w:val="32"/>
          <w:szCs w:val="32"/>
        </w:rPr>
      </w:pPr>
      <w:bookmarkStart w:id="131" w:name="_Toc24099"/>
      <w:r>
        <w:rPr>
          <w:rFonts w:ascii="Times New Roman" w:hAnsi="仿宋_GB2312" w:eastAsia="仿宋_GB2312" w:cs="Times New Roman"/>
          <w:b/>
          <w:sz w:val="32"/>
          <w:szCs w:val="32"/>
        </w:rPr>
        <w:t>积极融入江门都市核心区。</w:t>
      </w:r>
      <w:r>
        <w:rPr>
          <w:rFonts w:ascii="Times New Roman" w:hAnsi="Times New Roman" w:eastAsia="仿宋_GB2312" w:cs="Times New Roman"/>
          <w:sz w:val="32"/>
          <w:szCs w:val="32"/>
        </w:rPr>
        <w:t>协同蓬江、江海</w:t>
      </w:r>
      <w:r>
        <w:rPr>
          <w:rFonts w:hint="eastAsia" w:ascii="Times New Roman" w:hAnsi="Times New Roman" w:eastAsia="仿宋_GB2312" w:cs="Times New Roman"/>
          <w:sz w:val="32"/>
          <w:szCs w:val="32"/>
        </w:rPr>
        <w:t>联动</w:t>
      </w:r>
      <w:r>
        <w:rPr>
          <w:rFonts w:ascii="Times New Roman" w:hAnsi="Times New Roman" w:eastAsia="仿宋_GB2312" w:cs="Times New Roman"/>
          <w:sz w:val="32"/>
          <w:szCs w:val="32"/>
        </w:rPr>
        <w:t>发展，以合力打造江门“强中心”为目标，畅通会城与江门中心城区联动</w:t>
      </w:r>
      <w:r>
        <w:rPr>
          <w:rFonts w:hint="eastAsia" w:ascii="Times New Roman" w:hAnsi="Times New Roman" w:eastAsia="仿宋_GB2312" w:cs="Times New Roman"/>
          <w:sz w:val="32"/>
          <w:szCs w:val="32"/>
        </w:rPr>
        <w:t>，积极推进会港大道等交通项目建设，加速融入主城区20分钟通勤圈</w:t>
      </w:r>
      <w:r>
        <w:rPr>
          <w:rFonts w:ascii="Times New Roman" w:hAnsi="Times New Roman" w:eastAsia="仿宋_GB2312" w:cs="Times New Roman"/>
          <w:sz w:val="32"/>
          <w:szCs w:val="32"/>
        </w:rPr>
        <w:t>。以完善基础设施路网体系、一体化布局城市优质公共服务资源为抓手，协同升级中心城区首位度。高水平打造“珠西城市客厅”，</w:t>
      </w:r>
      <w:r>
        <w:rPr>
          <w:rFonts w:hint="eastAsia" w:ascii="Times New Roman" w:hAnsi="Times New Roman" w:eastAsia="仿宋_GB2312" w:cs="Times New Roman"/>
          <w:sz w:val="32"/>
          <w:szCs w:val="32"/>
        </w:rPr>
        <w:t>推动</w:t>
      </w:r>
      <w:r>
        <w:rPr>
          <w:rFonts w:hint="eastAsia" w:ascii="Times New Roman" w:hAnsi="Times New Roman" w:eastAsia="仿宋_GB2312" w:cs="Times New Roman"/>
          <w:sz w:val="32"/>
          <w:szCs w:val="32"/>
          <w:lang w:eastAsia="zh-CN"/>
        </w:rPr>
        <w:t>珠西</w:t>
      </w:r>
      <w:r>
        <w:rPr>
          <w:rFonts w:hint="eastAsia" w:ascii="Times New Roman" w:hAnsi="Times New Roman" w:eastAsia="仿宋_GB2312" w:cs="Times New Roman"/>
          <w:sz w:val="32"/>
          <w:szCs w:val="32"/>
        </w:rPr>
        <w:t>枢纽新城城市功能与高新区产业发展联动提升，打造</w:t>
      </w:r>
      <w:r>
        <w:rPr>
          <w:rFonts w:hint="eastAsia" w:ascii="Times New Roman" w:hAnsi="Times New Roman" w:eastAsia="仿宋_GB2312" w:cs="Times New Roman"/>
          <w:sz w:val="32"/>
          <w:szCs w:val="32"/>
          <w:lang w:eastAsia="zh-CN"/>
        </w:rPr>
        <w:t>江门</w:t>
      </w:r>
      <w:r>
        <w:rPr>
          <w:rFonts w:hint="eastAsia" w:ascii="Times New Roman" w:hAnsi="Times New Roman" w:eastAsia="仿宋_GB2312" w:cs="Times New Roman"/>
          <w:sz w:val="32"/>
          <w:szCs w:val="32"/>
        </w:rPr>
        <w:t>中心城区产城融合示范区城央核心。</w:t>
      </w:r>
    </w:p>
    <w:p>
      <w:pPr>
        <w:spacing w:line="560" w:lineRule="exact"/>
        <w:ind w:firstLine="643" w:firstLineChars="200"/>
        <w:jc w:val="both"/>
        <w:rPr>
          <w:rFonts w:ascii="Times New Roman" w:hAnsi="Times New Roman" w:eastAsia="仿宋_GB2312" w:cs="Times New Roman"/>
          <w:b/>
          <w:sz w:val="32"/>
          <w:szCs w:val="32"/>
        </w:rPr>
      </w:pPr>
      <w:r>
        <w:rPr>
          <w:rFonts w:ascii="Times New Roman" w:hAnsi="仿宋_GB2312" w:eastAsia="仿宋_GB2312" w:cs="Times New Roman"/>
          <w:b/>
          <w:sz w:val="32"/>
          <w:szCs w:val="32"/>
        </w:rPr>
        <w:t>参与大广海湾区建设。</w:t>
      </w:r>
      <w:r>
        <w:rPr>
          <w:rFonts w:ascii="Times New Roman" w:hAnsi="仿宋_GB2312" w:eastAsia="仿宋_GB2312" w:cs="Times New Roman"/>
          <w:sz w:val="32"/>
          <w:szCs w:val="32"/>
        </w:rPr>
        <w:t>向南深化江海联动、陆海统筹发展</w:t>
      </w:r>
      <w:r>
        <w:rPr>
          <w:rFonts w:ascii="Times New Roman" w:hAnsi="仿宋_GB2312" w:eastAsia="仿宋_GB2312" w:cs="Times New Roman"/>
          <w:b/>
          <w:sz w:val="32"/>
          <w:szCs w:val="32"/>
        </w:rPr>
        <w:t>，</w:t>
      </w:r>
      <w:r>
        <w:rPr>
          <w:rFonts w:ascii="Times New Roman" w:hAnsi="Times New Roman" w:eastAsia="仿宋_GB2312" w:cs="Times New Roman"/>
          <w:sz w:val="32"/>
          <w:szCs w:val="32"/>
        </w:rPr>
        <w:t>强化江海联运，积极拓展大广海湾区蓝色经济新空间。加快建设新会港三期</w:t>
      </w:r>
      <w:r>
        <w:rPr>
          <w:rFonts w:ascii="Times New Roman" w:hAnsi="仿宋_GB2312" w:eastAsia="仿宋_GB2312" w:cs="Times New Roman"/>
          <w:sz w:val="32"/>
          <w:szCs w:val="32"/>
        </w:rPr>
        <w:t>、崖门出海航道二期，</w:t>
      </w:r>
      <w:r>
        <w:rPr>
          <w:rFonts w:ascii="Times New Roman" w:hAnsi="Times New Roman" w:eastAsia="仿宋_GB2312" w:cs="Times New Roman"/>
          <w:sz w:val="32"/>
          <w:szCs w:val="32"/>
        </w:rPr>
        <w:t>科学整合港口码头及岸线航道资源，合理规划布局银洲湖西岸公共码头，构建西江出海主通道。依托港口区扩容升级，推动水水联运资源融入大湾区现代航运网络体系。</w:t>
      </w:r>
    </w:p>
    <w:bookmarkEnd w:id="131"/>
    <w:p>
      <w:pPr>
        <w:pStyle w:val="3"/>
        <w:spacing w:line="560" w:lineRule="exact"/>
        <w:jc w:val="center"/>
        <w:rPr>
          <w:rFonts w:ascii="Times New Roman" w:hAnsi="Times New Roman" w:eastAsia="楷体_GB2312"/>
          <w:b w:val="0"/>
        </w:rPr>
      </w:pPr>
      <w:bookmarkStart w:id="132" w:name="_Toc30572"/>
      <w:bookmarkStart w:id="133" w:name="_Toc17491"/>
      <w:bookmarkStart w:id="134" w:name="_Toc24479"/>
      <w:bookmarkStart w:id="135" w:name="_Toc60738035"/>
      <w:bookmarkStart w:id="136" w:name="_Toc21911"/>
      <w:bookmarkStart w:id="137" w:name="_Toc61946335"/>
      <w:r>
        <w:rPr>
          <w:rFonts w:ascii="Times New Roman" w:hAnsi="Times New Roman" w:eastAsia="楷体_GB2312"/>
          <w:b w:val="0"/>
        </w:rPr>
        <w:t>第三节 构建“一带两核三组团”空间格局</w:t>
      </w:r>
      <w:bookmarkEnd w:id="132"/>
      <w:bookmarkEnd w:id="133"/>
      <w:bookmarkEnd w:id="134"/>
      <w:bookmarkEnd w:id="135"/>
      <w:bookmarkEnd w:id="136"/>
      <w:bookmarkEnd w:id="137"/>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深入推动银洲湖产业带发展。</w:t>
      </w:r>
      <w:r>
        <w:rPr>
          <w:rFonts w:ascii="Times New Roman" w:hAnsi="Times New Roman" w:eastAsia="仿宋_GB2312" w:cs="Times New Roman"/>
          <w:sz w:val="32"/>
          <w:szCs w:val="32"/>
        </w:rPr>
        <w:t>将现有银洲湖产业带范围扩大到上游的大泽、司前、罗坑工业组团，推动七堡健康产业岛、中小船舶基地提质。形成区域更为广泛的银洲湖产业带。发挥该区域通江达海的区位优势和相对丰富的资源优势，推动上下游产业尤其是研发设计、检验检测、货运仓储等生产性服务业进一步向产业带集中，不断提高规模效应和集聚效应，力争在全省世界级先进制造业集群中占据一席之地。</w:t>
      </w:r>
    </w:p>
    <w:p>
      <w:pPr>
        <w:spacing w:line="560" w:lineRule="exact"/>
        <w:ind w:firstLine="643"/>
        <w:jc w:val="both"/>
        <w:rPr>
          <w:rFonts w:ascii="Times New Roman" w:hAnsi="Times New Roman" w:eastAsia="仿宋_GB2312" w:cs="Times New Roman"/>
          <w:bCs/>
          <w:sz w:val="32"/>
          <w:szCs w:val="32"/>
        </w:rPr>
      </w:pPr>
      <w:r>
        <w:rPr>
          <w:rFonts w:ascii="Times New Roman" w:hAnsi="仿宋_GB2312" w:eastAsia="仿宋_GB2312" w:cs="Times New Roman"/>
          <w:b/>
          <w:sz w:val="32"/>
          <w:szCs w:val="32"/>
        </w:rPr>
        <w:t>高位推进珠西枢纽新城、银湖湾滨海新区建设。</w:t>
      </w:r>
      <w:r>
        <w:rPr>
          <w:rFonts w:ascii="Times New Roman" w:hAnsi="仿宋_GB2312" w:eastAsia="仿宋_GB2312" w:cs="Times New Roman"/>
          <w:bCs/>
          <w:sz w:val="32"/>
          <w:szCs w:val="32"/>
        </w:rPr>
        <w:t>珠西枢纽新城按照</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优产、托城、聚人、创新</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的总体思路，高标准推进江门站周边区域开发，不断完善新城医疗、学校、市场、文化体育等公共配套，优化生产生活生态空间布局，整合小鸟天堂、梁启超故居、陈皮村等景点，以江门水道碧道为主轴，与高新区共同打造</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一河两岸</w:t>
      </w:r>
      <w:r>
        <w:rPr>
          <w:rFonts w:ascii="Times New Roman" w:hAnsi="Times New Roman" w:eastAsia="仿宋_GB2312" w:cs="Times New Roman"/>
          <w:bCs/>
          <w:sz w:val="32"/>
          <w:szCs w:val="32"/>
        </w:rPr>
        <w:t>”</w:t>
      </w:r>
      <w:r>
        <w:rPr>
          <w:rFonts w:ascii="Times New Roman" w:hAnsi="仿宋_GB2312" w:eastAsia="仿宋_GB2312" w:cs="Times New Roman"/>
          <w:bCs/>
          <w:sz w:val="32"/>
          <w:szCs w:val="32"/>
        </w:rPr>
        <w:t>城市景观带。</w:t>
      </w:r>
      <w:r>
        <w:rPr>
          <w:rFonts w:ascii="Times New Roman" w:eastAsia="仿宋_GB2312" w:cs="Times New Roman"/>
          <w:bCs/>
          <w:sz w:val="32"/>
          <w:szCs w:val="32"/>
        </w:rPr>
        <w:t>加快</w:t>
      </w:r>
      <w:r>
        <w:rPr>
          <w:rFonts w:hint="eastAsia" w:ascii="Times New Roman" w:eastAsia="仿宋_GB2312" w:cs="Times New Roman"/>
          <w:bCs/>
          <w:sz w:val="32"/>
          <w:szCs w:val="32"/>
          <w:lang w:eastAsia="zh-CN"/>
        </w:rPr>
        <w:t>珠西</w:t>
      </w:r>
      <w:r>
        <w:rPr>
          <w:rFonts w:ascii="Times New Roman" w:eastAsia="仿宋_GB2312" w:cs="Times New Roman"/>
          <w:bCs/>
          <w:sz w:val="32"/>
          <w:szCs w:val="32"/>
        </w:rPr>
        <w:t>枢纽新城文华广场、钧明欢乐世界等工程建设，做好</w:t>
      </w:r>
      <w:r>
        <w:rPr>
          <w:rFonts w:ascii="Times New Roman" w:hAnsi="Times New Roman" w:eastAsia="仿宋_GB2312" w:cs="Times New Roman"/>
          <w:bCs/>
          <w:sz w:val="32"/>
          <w:szCs w:val="32"/>
        </w:rPr>
        <w:t>“</w:t>
      </w:r>
      <w:r>
        <w:rPr>
          <w:rFonts w:ascii="Times New Roman" w:eastAsia="仿宋_GB2312" w:cs="Times New Roman"/>
          <w:bCs/>
          <w:sz w:val="32"/>
          <w:szCs w:val="32"/>
        </w:rPr>
        <w:t>一馆一院一中心</w:t>
      </w:r>
      <w:r>
        <w:rPr>
          <w:rFonts w:ascii="Times New Roman" w:hAnsi="Times New Roman" w:eastAsia="仿宋_GB2312" w:cs="Times New Roman"/>
          <w:bCs/>
          <w:sz w:val="32"/>
          <w:szCs w:val="32"/>
        </w:rPr>
        <w:t>”</w:t>
      </w:r>
      <w:r>
        <w:rPr>
          <w:rFonts w:ascii="Times New Roman" w:eastAsia="仿宋_GB2312" w:cs="Times New Roman"/>
          <w:bCs/>
          <w:sz w:val="32"/>
          <w:szCs w:val="32"/>
        </w:rPr>
        <w:t>前期工作，争取布局市级重大公共服务设施，</w:t>
      </w:r>
      <w:r>
        <w:rPr>
          <w:rFonts w:ascii="Times New Roman" w:hAnsi="仿宋_GB2312" w:eastAsia="仿宋_GB2312" w:cs="Times New Roman"/>
          <w:bCs/>
          <w:sz w:val="32"/>
          <w:szCs w:val="32"/>
        </w:rPr>
        <w:t>打造大湾区城市客厅。发挥双水镇站区域交通副中心作用，推动双水镇商贸、物流、旅游等第三产业发展，逐步与</w:t>
      </w:r>
      <w:r>
        <w:rPr>
          <w:rFonts w:hint="eastAsia" w:ascii="Times New Roman" w:hAnsi="仿宋_GB2312" w:eastAsia="仿宋_GB2312" w:cs="Times New Roman"/>
          <w:bCs/>
          <w:sz w:val="32"/>
          <w:szCs w:val="32"/>
          <w:lang w:eastAsia="zh-CN"/>
        </w:rPr>
        <w:t>珠西</w:t>
      </w:r>
      <w:r>
        <w:rPr>
          <w:rFonts w:ascii="Times New Roman" w:hAnsi="仿宋_GB2312" w:eastAsia="仿宋_GB2312" w:cs="Times New Roman"/>
          <w:bCs/>
          <w:sz w:val="32"/>
          <w:szCs w:val="32"/>
        </w:rPr>
        <w:t>枢纽新城联结成片。银湖湾滨海新区力争上升为国家级发展平台，谋划成为城市副中心，积极布局海洋经济、滨海旅游、山地休闲、金融会展、民俗商业和国际科教六大功能，主动承接广深港澳现代服务业溢出，打造服务大广海湾区的生活中心、对接港深和珠澳地区的休闲旅游基地和华侨华人文化交流合作重要平台。</w:t>
      </w:r>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高质量打造</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三组团</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w:t>
      </w:r>
      <w:r>
        <w:rPr>
          <w:rFonts w:ascii="Times New Roman" w:hAnsi="仿宋_GB2312" w:eastAsia="仿宋_GB2312" w:cs="Times New Roman"/>
          <w:bCs/>
          <w:sz w:val="32"/>
          <w:szCs w:val="32"/>
        </w:rPr>
        <w:t>推动北部</w:t>
      </w:r>
      <w:r>
        <w:rPr>
          <w:rFonts w:ascii="Times New Roman" w:hAnsi="仿宋_GB2312" w:eastAsia="仿宋_GB2312" w:cs="Times New Roman"/>
          <w:sz w:val="32"/>
          <w:szCs w:val="32"/>
        </w:rPr>
        <w:t>葵城文脉、东部岭南水乡、西南特色文旅三大组团发展，打造具有葵乡韵味的大湾区绿色文化名城。北部葵城文脉组团要坚决守住圭峰山保护红线，进一步打响</w:t>
      </w:r>
      <w:r>
        <w:rPr>
          <w:rFonts w:ascii="Times New Roman" w:hAnsi="Times New Roman" w:eastAsia="仿宋_GB2312" w:cs="Times New Roman"/>
          <w:sz w:val="32"/>
          <w:szCs w:val="32"/>
        </w:rPr>
        <w:t>“</w:t>
      </w:r>
      <w:r>
        <w:rPr>
          <w:rFonts w:ascii="Times New Roman" w:hAnsi="仿宋_GB2312" w:eastAsia="仿宋_GB2312" w:cs="Times New Roman"/>
          <w:sz w:val="32"/>
          <w:szCs w:val="32"/>
        </w:rPr>
        <w:t>岭南儒学第一山</w:t>
      </w:r>
      <w:r>
        <w:rPr>
          <w:rFonts w:ascii="Times New Roman" w:hAnsi="Times New Roman" w:eastAsia="仿宋_GB2312" w:cs="Times New Roman"/>
          <w:sz w:val="32"/>
          <w:szCs w:val="32"/>
        </w:rPr>
        <w:t>”</w:t>
      </w:r>
      <w:r>
        <w:rPr>
          <w:rFonts w:ascii="Times New Roman" w:hAnsi="仿宋_GB2312" w:eastAsia="仿宋_GB2312" w:cs="Times New Roman"/>
          <w:sz w:val="32"/>
          <w:szCs w:val="32"/>
        </w:rPr>
        <w:t>文化品牌，推动创建国家５</w:t>
      </w:r>
      <w:r>
        <w:rPr>
          <w:rFonts w:ascii="Times New Roman" w:hAnsi="Times New Roman" w:eastAsia="仿宋_GB2312" w:cs="Times New Roman"/>
          <w:sz w:val="32"/>
          <w:szCs w:val="32"/>
        </w:rPr>
        <w:t>A</w:t>
      </w:r>
      <w:r>
        <w:rPr>
          <w:rFonts w:ascii="Times New Roman" w:hAnsi="仿宋_GB2312" w:eastAsia="仿宋_GB2312" w:cs="Times New Roman"/>
          <w:sz w:val="32"/>
          <w:szCs w:val="32"/>
        </w:rPr>
        <w:t>级旅游景区。推动老城区行政、教育、医疗等功能有序外移，加快发展历史文化业态。东部岭南水乡组团大力发展岭南水乡旅游，借鉴广州黄埔古港模式，进一步深挖本地</w:t>
      </w:r>
      <w:r>
        <w:rPr>
          <w:rFonts w:ascii="Times New Roman" w:hAnsi="宋体" w:eastAsia="宋体" w:cs="Times New Roman"/>
          <w:sz w:val="32"/>
          <w:szCs w:val="32"/>
        </w:rPr>
        <w:t>疍</w:t>
      </w:r>
      <w:r>
        <w:rPr>
          <w:rFonts w:ascii="Times New Roman" w:hAnsi="仿宋_GB2312" w:eastAsia="仿宋_GB2312" w:cs="Times New Roman"/>
          <w:sz w:val="32"/>
          <w:szCs w:val="32"/>
        </w:rPr>
        <w:t>家婚俗、咸水歌等人文历史资源。西南特色文旅组团串联沿线特色旅游资源，以文化体验和旅游为主线，构筑极具葵乡特色、带动全域旅游发展的文旅走廊。深入挖掘罗坑古村、古寺、古祠堂以及红色遗迹旅游价值，加快整合乡村文旅资源，与周边景点串珠成链。探索</w:t>
      </w:r>
      <w:r>
        <w:rPr>
          <w:rFonts w:ascii="Times New Roman" w:hAnsi="Times New Roman" w:eastAsia="仿宋_GB2312" w:cs="Times New Roman"/>
          <w:sz w:val="32"/>
          <w:szCs w:val="32"/>
        </w:rPr>
        <w:t>“</w:t>
      </w:r>
      <w:r>
        <w:rPr>
          <w:rFonts w:ascii="Times New Roman" w:hAnsi="仿宋_GB2312" w:eastAsia="仿宋_GB2312" w:cs="Times New Roman"/>
          <w:sz w:val="32"/>
          <w:szCs w:val="32"/>
        </w:rPr>
        <w:t>香业＋文化＋旅游＋养生＋互联网</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的发展路子，打造综合性香业基地。加大古兜山保护力度，与北部圭峰山形成</w:t>
      </w:r>
      <w:r>
        <w:rPr>
          <w:rFonts w:ascii="Times New Roman" w:hAnsi="Times New Roman" w:eastAsia="仿宋_GB2312" w:cs="Times New Roman"/>
          <w:sz w:val="32"/>
          <w:szCs w:val="32"/>
        </w:rPr>
        <w:t>“</w:t>
      </w:r>
      <w:r>
        <w:rPr>
          <w:rFonts w:ascii="Times New Roman" w:hAnsi="仿宋_GB2312" w:eastAsia="仿宋_GB2312" w:cs="Times New Roman"/>
          <w:sz w:val="32"/>
          <w:szCs w:val="32"/>
        </w:rPr>
        <w:t>南北呼应</w:t>
      </w:r>
      <w:r>
        <w:rPr>
          <w:rFonts w:ascii="Times New Roman" w:hAnsi="Times New Roman" w:eastAsia="仿宋_GB2312" w:cs="Times New Roman"/>
          <w:sz w:val="32"/>
          <w:szCs w:val="32"/>
        </w:rPr>
        <w:t>”</w:t>
      </w:r>
      <w:r>
        <w:rPr>
          <w:rFonts w:ascii="Times New Roman" w:hAnsi="仿宋_GB2312" w:eastAsia="仿宋_GB2312" w:cs="Times New Roman"/>
          <w:sz w:val="32"/>
          <w:szCs w:val="32"/>
        </w:rPr>
        <w:t>的生态屏障，打造江门东部三区一市</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天然氧吧</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p>
    <w:p>
      <w:pPr>
        <w:pStyle w:val="3"/>
        <w:spacing w:line="560" w:lineRule="exact"/>
        <w:jc w:val="center"/>
        <w:rPr>
          <w:rFonts w:ascii="Times New Roman" w:hAnsi="Times New Roman" w:eastAsia="楷体_GB2312"/>
          <w:b w:val="0"/>
        </w:rPr>
      </w:pPr>
      <w:bookmarkStart w:id="138" w:name="_Toc61946336"/>
      <w:bookmarkStart w:id="139" w:name="_Toc20838"/>
      <w:bookmarkStart w:id="140" w:name="_Toc15140"/>
      <w:bookmarkStart w:id="141" w:name="_Toc13673"/>
      <w:bookmarkStart w:id="142" w:name="_Toc60738036"/>
      <w:bookmarkStart w:id="143" w:name="_Toc3007"/>
      <w:r>
        <w:rPr>
          <w:rFonts w:ascii="Times New Roman" w:hAnsi="Times New Roman" w:eastAsia="楷体_GB2312"/>
          <w:b w:val="0"/>
        </w:rPr>
        <w:t>第四节 深入实施新型城镇化战略</w:t>
      </w:r>
      <w:bookmarkEnd w:id="138"/>
      <w:bookmarkEnd w:id="139"/>
      <w:bookmarkEnd w:id="140"/>
      <w:bookmarkEnd w:id="141"/>
    </w:p>
    <w:p>
      <w:pPr>
        <w:pBdr>
          <w:top w:val="none" w:color="auto" w:sz="0" w:space="0"/>
          <w:left w:val="none" w:color="auto" w:sz="0" w:space="0"/>
          <w:bottom w:val="none" w:color="auto" w:sz="0" w:space="0"/>
          <w:right w:val="none" w:color="auto" w:sz="0" w:space="0"/>
        </w:pBdr>
        <w:adjustRightInd/>
        <w:spacing w:line="560" w:lineRule="exact"/>
        <w:ind w:firstLine="643" w:firstLineChars="200"/>
        <w:jc w:val="both"/>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提升城市品质。</w:t>
      </w:r>
      <w:r>
        <w:rPr>
          <w:rFonts w:ascii="Times New Roman" w:hAnsi="Times New Roman" w:eastAsia="仿宋_GB2312" w:cs="Times New Roman"/>
          <w:bCs/>
          <w:sz w:val="32"/>
          <w:szCs w:val="32"/>
        </w:rPr>
        <w:t>实施城市更新行动，推进江会片区、老旧小区、背街小巷改造提升，打造一批有新会特色的文化街区。围绕医疗、学校、市场、文化体育等公共配套设施以及市政道路改造、碧道建设等领域，启动一批补短板项目。以“绣花”功夫提升城市管理科学化、精细化、智能化水平。完善城区内及与周边市区的公共交通线路。科学布局停车点，优化城区停车管理，缓解停车难问题。高标准建设城市环卫设</w:t>
      </w:r>
      <w:r>
        <w:rPr>
          <w:rFonts w:ascii="Times New Roman" w:hAnsi="仿宋_GB2312" w:eastAsia="仿宋_GB2312" w:cs="Times New Roman"/>
          <w:bCs/>
          <w:sz w:val="32"/>
          <w:szCs w:val="32"/>
        </w:rPr>
        <w:t>施，加快配套建筑垃圾消纳场等垃圾终端处理设施，提升处理能力，优化处理模式。</w:t>
      </w:r>
    </w:p>
    <w:p>
      <w:pPr>
        <w:pBdr>
          <w:top w:val="none" w:color="auto" w:sz="0" w:space="0"/>
          <w:left w:val="none" w:color="auto" w:sz="0" w:space="0"/>
          <w:bottom w:val="none" w:color="auto" w:sz="0" w:space="0"/>
          <w:right w:val="none" w:color="auto" w:sz="0" w:space="0"/>
        </w:pBdr>
        <w:adjustRightInd/>
        <w:spacing w:line="560" w:lineRule="exact"/>
        <w:ind w:firstLine="643" w:firstLineChars="200"/>
        <w:jc w:val="both"/>
        <w:rPr>
          <w:rFonts w:ascii="Times New Roman" w:hAnsi="Times New Roman" w:eastAsia="仿宋_GB2312" w:cs="Times New Roman"/>
          <w:sz w:val="32"/>
          <w:szCs w:val="32"/>
        </w:rPr>
      </w:pPr>
      <w:r>
        <w:rPr>
          <w:rFonts w:ascii="Times New Roman" w:eastAsia="仿宋_GB2312" w:cs="Times New Roman"/>
          <w:b/>
          <w:bCs/>
          <w:sz w:val="32"/>
          <w:szCs w:val="32"/>
        </w:rPr>
        <w:t>深化户籍制度改革。</w:t>
      </w:r>
      <w:r>
        <w:rPr>
          <w:rFonts w:ascii="Times New Roman" w:eastAsia="仿宋_GB2312" w:cs="Times New Roman"/>
          <w:bCs/>
          <w:sz w:val="32"/>
          <w:szCs w:val="32"/>
        </w:rPr>
        <w:t>完善财政转移支付和城镇新增建设用地规模与农业转移人口市民化挂钩政策，完善基本公共服务与常住人口挂钩机制。加大对农业转移人口市民化的财政支持力度，大力推动建立城镇建设用地增加规模与吸纳农业转移人口落户数量挂钩机制，着力强化农业转移人口就业扶持，</w:t>
      </w:r>
      <w:r>
        <w:rPr>
          <w:rFonts w:ascii="Times New Roman" w:hAnsi="仿宋_GB2312" w:eastAsia="仿宋_GB2312" w:cs="Times New Roman"/>
          <w:sz w:val="32"/>
          <w:szCs w:val="32"/>
        </w:rPr>
        <w:t>加快农业转移人口市民化。全力推动城镇民生事业发展，健全以居住证为载体的城镇基本公共服务提供机制，扩大人口规模、经济规模。</w:t>
      </w:r>
      <w:r>
        <w:rPr>
          <w:rFonts w:ascii="Times New Roman" w:eastAsia="仿宋_GB2312" w:cs="Times New Roman"/>
          <w:bCs/>
          <w:sz w:val="32"/>
          <w:szCs w:val="32"/>
        </w:rPr>
        <w:t>深化农村产权制度改革。</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建设美丽小城镇。</w:t>
      </w:r>
      <w:r>
        <w:rPr>
          <w:rFonts w:ascii="Times New Roman" w:hAnsi="仿宋_GB2312" w:eastAsia="仿宋_GB2312" w:cs="Times New Roman"/>
          <w:sz w:val="32"/>
          <w:szCs w:val="32"/>
        </w:rPr>
        <w:t>打造小城镇扩容提质升级版，力争</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期间新增镇村建设面积</w:t>
      </w:r>
      <w:r>
        <w:rPr>
          <w:rFonts w:ascii="Times New Roman" w:hAnsi="Times New Roman" w:eastAsia="仿宋_GB2312" w:cs="Times New Roman"/>
          <w:sz w:val="32"/>
          <w:szCs w:val="32"/>
        </w:rPr>
        <w:t>200</w:t>
      </w:r>
      <w:r>
        <w:rPr>
          <w:rFonts w:ascii="Times New Roman" w:hAnsi="仿宋_GB2312" w:eastAsia="仿宋_GB2312" w:cs="Times New Roman"/>
          <w:sz w:val="32"/>
          <w:szCs w:val="32"/>
        </w:rPr>
        <w:t>万平方米。打造一批功能齐备的镇域中央核心区，逐步缩小城乡公共服务差距。立足资源禀赋、区位环境、历史文化、产业集聚等特色，培育国家和省级特色小镇。鼓励各镇建设众创、众包、众扶、众筹等低成本、便利化、开放式服务平台，构建富有活力的创业创新生态圈。</w:t>
      </w:r>
    </w:p>
    <w:bookmarkEnd w:id="142"/>
    <w:bookmarkEnd w:id="143"/>
    <w:p>
      <w:pPr>
        <w:pStyle w:val="2"/>
        <w:spacing w:line="560" w:lineRule="exact"/>
        <w:rPr>
          <w:rFonts w:ascii="Times New Roman" w:hAnsi="Times New Roman"/>
          <w:b w:val="0"/>
          <w:szCs w:val="32"/>
        </w:rPr>
      </w:pPr>
      <w:bookmarkStart w:id="144" w:name="_Toc60738037"/>
      <w:bookmarkStart w:id="145" w:name="_Toc6811"/>
      <w:bookmarkStart w:id="146" w:name="_Toc23928"/>
      <w:bookmarkStart w:id="147" w:name="_Toc18247"/>
      <w:bookmarkStart w:id="148" w:name="_Toc61946337"/>
      <w:r>
        <w:rPr>
          <w:rFonts w:ascii="Times New Roman"/>
          <w:b w:val="0"/>
          <w:szCs w:val="32"/>
        </w:rPr>
        <w:t>第七章</w:t>
      </w:r>
      <w:r>
        <w:rPr>
          <w:rFonts w:hint="eastAsia" w:ascii="Times New Roman"/>
          <w:b w:val="0"/>
          <w:szCs w:val="32"/>
          <w:lang w:val="en-US" w:eastAsia="zh-CN"/>
        </w:rPr>
        <w:t xml:space="preserve"> </w:t>
      </w:r>
      <w:r>
        <w:rPr>
          <w:rFonts w:ascii="Times New Roman"/>
          <w:b w:val="0"/>
          <w:szCs w:val="32"/>
        </w:rPr>
        <w:t>强化交通先行</w:t>
      </w:r>
      <w:r>
        <w:rPr>
          <w:rFonts w:hint="eastAsia" w:ascii="Times New Roman"/>
          <w:b w:val="0"/>
          <w:szCs w:val="32"/>
          <w:lang w:val="en-US" w:eastAsia="zh-CN"/>
        </w:rPr>
        <w:t xml:space="preserve"> </w:t>
      </w:r>
      <w:r>
        <w:rPr>
          <w:rFonts w:ascii="Times New Roman"/>
          <w:b w:val="0"/>
          <w:szCs w:val="32"/>
        </w:rPr>
        <w:t>建设现代化基础设施体系</w:t>
      </w:r>
      <w:bookmarkEnd w:id="144"/>
      <w:bookmarkEnd w:id="145"/>
      <w:bookmarkEnd w:id="146"/>
      <w:bookmarkEnd w:id="147"/>
      <w:bookmarkEnd w:id="148"/>
    </w:p>
    <w:p>
      <w:pPr>
        <w:adjustRightInd/>
        <w:spacing w:line="560" w:lineRule="exact"/>
        <w:ind w:firstLine="640" w:firstLineChars="200"/>
        <w:jc w:val="both"/>
        <w:rPr>
          <w:rFonts w:ascii="Times New Roman" w:hAnsi="Times New Roman" w:eastAsia="仿宋_GB2312" w:cs="Times New Roman"/>
          <w:bCs/>
          <w:sz w:val="32"/>
          <w:szCs w:val="32"/>
        </w:rPr>
      </w:pPr>
      <w:bookmarkStart w:id="149" w:name="_Toc22074"/>
      <w:bookmarkStart w:id="150" w:name="_Toc13833"/>
      <w:bookmarkStart w:id="151" w:name="_Toc14160"/>
      <w:bookmarkStart w:id="152" w:name="_Toc60738038"/>
      <w:r>
        <w:rPr>
          <w:rFonts w:ascii="Times New Roman" w:hAnsi="仿宋_GB2312" w:eastAsia="仿宋_GB2312" w:cs="Times New Roman"/>
          <w:bCs/>
          <w:sz w:val="32"/>
          <w:szCs w:val="32"/>
        </w:rPr>
        <w:t>聚焦结构优化、集约高效、智能绿色、安全可靠，完善基础设施网络体系。构建高铁、城市轨道、公路、港口体系，全力打造湾区西翼综合交通枢纽门户。完善传统基础设施融合发展，推动智慧城市建设，为经济社会高质量提供有力支撑。</w:t>
      </w:r>
    </w:p>
    <w:p>
      <w:pPr>
        <w:pStyle w:val="3"/>
        <w:spacing w:line="560" w:lineRule="exact"/>
        <w:jc w:val="center"/>
        <w:rPr>
          <w:rFonts w:ascii="Times New Roman" w:hAnsi="Times New Roman" w:eastAsia="楷体_GB2312"/>
          <w:b w:val="0"/>
        </w:rPr>
      </w:pPr>
      <w:bookmarkStart w:id="153" w:name="_Toc61946338"/>
      <w:r>
        <w:rPr>
          <w:rFonts w:ascii="Times New Roman" w:hAnsi="Times New Roman" w:eastAsia="楷体_GB2312"/>
          <w:b w:val="0"/>
        </w:rPr>
        <w:t>第一节 构建内联外通的枢纽型综合交通</w:t>
      </w:r>
      <w:bookmarkEnd w:id="149"/>
      <w:bookmarkEnd w:id="150"/>
      <w:bookmarkEnd w:id="151"/>
      <w:bookmarkEnd w:id="152"/>
      <w:bookmarkEnd w:id="153"/>
    </w:p>
    <w:p>
      <w:pPr>
        <w:adjustRightInd/>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构建快进快出对外交通。</w:t>
      </w:r>
      <w:r>
        <w:rPr>
          <w:rFonts w:ascii="Times New Roman" w:hAnsi="Times New Roman" w:eastAsia="仿宋_GB2312" w:cs="Times New Roman"/>
          <w:sz w:val="32"/>
          <w:szCs w:val="32"/>
        </w:rPr>
        <w:t>全面融入“轨道上的大湾区”建设，全面接入国家高铁网，推动深江铁路新会段、珠肇高铁等工程建设，配合做好广佛江珠城际、深南高铁等规划建设。强化江门站枢纽功能，逐步开行通往全国中西部和东部主要城市的始发车。积极参与珠三角世界级港口群建设，</w:t>
      </w:r>
      <w:r>
        <w:rPr>
          <w:rFonts w:ascii="Times New Roman" w:eastAsia="仿宋_GB2312" w:cs="Times New Roman"/>
          <w:sz w:val="32"/>
          <w:szCs w:val="32"/>
        </w:rPr>
        <w:t>重点建设新会港三期扩建工程，</w:t>
      </w:r>
      <w:r>
        <w:rPr>
          <w:rFonts w:ascii="Times New Roman" w:hAnsi="Times New Roman" w:eastAsia="仿宋_GB2312" w:cs="Times New Roman"/>
          <w:sz w:val="32"/>
          <w:szCs w:val="32"/>
        </w:rPr>
        <w:t>鼓励引导大广海湾保税物流中心（Ｂ型）与新会港一体化运作。研究进一步提升崖门出海航道等级，加强与大湾区主要港口的战略合作。</w:t>
      </w:r>
    </w:p>
    <w:p>
      <w:pPr>
        <w:adjustRightInd/>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优化高效畅达内部交通。</w:t>
      </w:r>
      <w:r>
        <w:rPr>
          <w:rFonts w:ascii="Times New Roman" w:hAnsi="Times New Roman" w:eastAsia="仿宋_GB2312" w:cs="Times New Roman"/>
          <w:sz w:val="32"/>
          <w:szCs w:val="32"/>
        </w:rPr>
        <w:t>加快骨干路网与“毛细血管”互通成网。着力构建“四纵四横”高快速路网，加快推进江门大道南和银洲湖高速开工建设，逐步构建连接银洲湖东、西两岸的新会快速环线。积极推动国、省干线提质改造，推动国道G240线新会段、沙堆至古井公路等项目实施。做好银鹭大道东延线、胜利路南延线等主干线道路建设。持续完善区域组团间快速链接干线路网，不断提高产业园区对外联动能力，推动农村镇与主城区以及沿线工业园区之间实现快速高效通达。力争“十四五”时期完成交通投资400亿元。</w:t>
      </w:r>
    </w:p>
    <w:tbl>
      <w:tblPr>
        <w:tblStyle w:val="17"/>
        <w:tblpPr w:leftFromText="180" w:rightFromText="180" w:vertAnchor="text" w:horzAnchor="page" w:tblpX="2150" w:tblpY="269"/>
        <w:tblOverlap w:val="never"/>
        <w:tblW w:w="8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6" w:hRule="atLeast"/>
          <w:tblHeader/>
        </w:trPr>
        <w:tc>
          <w:tcPr>
            <w:tcW w:w="8560" w:type="dxa"/>
            <w:vAlign w:val="center"/>
          </w:tcPr>
          <w:p>
            <w:pPr>
              <w:pBdr>
                <w:top w:val="none" w:color="auto" w:sz="0" w:space="0"/>
                <w:left w:val="none" w:color="auto" w:sz="0" w:space="0"/>
                <w:bottom w:val="none" w:color="auto" w:sz="0" w:space="0"/>
                <w:right w:val="none" w:color="auto" w:sz="0" w:space="0"/>
              </w:pBdr>
              <w:adjustRightInd/>
              <w:spacing w:line="400" w:lineRule="exact"/>
              <w:ind w:firstLine="0"/>
              <w:jc w:val="center"/>
              <w:rPr>
                <w:rFonts w:ascii="Times New Roman" w:hAnsi="Times New Roman" w:eastAsia="黑体" w:cs="Times New Roman"/>
                <w:bCs/>
                <w:szCs w:val="28"/>
              </w:rPr>
            </w:pPr>
            <w:r>
              <w:rPr>
                <w:rFonts w:ascii="Times New Roman" w:hAnsi="Times New Roman" w:eastAsia="黑体" w:cs="Times New Roman"/>
                <w:szCs w:val="28"/>
              </w:rPr>
              <w:t>专栏</w:t>
            </w:r>
            <w:r>
              <w:rPr>
                <w:rFonts w:ascii="Times New Roman" w:hAnsi="Times New Roman" w:eastAsia="宋体" w:cs="Times New Roman"/>
                <w:szCs w:val="28"/>
              </w:rPr>
              <w:t>：</w:t>
            </w:r>
            <w:r>
              <w:rPr>
                <w:rFonts w:ascii="Times New Roman" w:hAnsi="Times New Roman" w:eastAsia="黑体" w:cs="Times New Roman"/>
                <w:szCs w:val="28"/>
              </w:rPr>
              <w:t>“十四五”重大交通基础设施建设项目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6" w:hRule="atLeast"/>
        </w:trPr>
        <w:tc>
          <w:tcPr>
            <w:tcW w:w="8560" w:type="dxa"/>
            <w:vAlign w:val="center"/>
          </w:tcPr>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bCs/>
                <w:szCs w:val="28"/>
              </w:rPr>
            </w:pPr>
            <w:r>
              <w:rPr>
                <w:rFonts w:ascii="Times New Roman" w:hAnsi="Times New Roman" w:eastAsia="楷体" w:cs="Times New Roman"/>
                <w:b/>
                <w:bCs/>
                <w:szCs w:val="28"/>
              </w:rPr>
              <w:t>一、轨道交通</w:t>
            </w:r>
          </w:p>
          <w:p>
            <w:pPr>
              <w:pBdr>
                <w:top w:val="none" w:color="auto" w:sz="0" w:space="0"/>
                <w:left w:val="none" w:color="auto" w:sz="0" w:space="0"/>
                <w:bottom w:val="none" w:color="auto" w:sz="0" w:space="0"/>
                <w:right w:val="none" w:color="auto" w:sz="0" w:space="0"/>
              </w:pBdr>
              <w:adjustRightInd/>
              <w:spacing w:line="400" w:lineRule="exact"/>
              <w:ind w:firstLine="560" w:firstLineChars="200"/>
              <w:jc w:val="both"/>
              <w:rPr>
                <w:rFonts w:ascii="Times New Roman" w:hAnsi="Times New Roman" w:eastAsia="楷体" w:cs="Times New Roman"/>
                <w:bCs/>
                <w:szCs w:val="28"/>
              </w:rPr>
            </w:pPr>
            <w:r>
              <w:rPr>
                <w:rFonts w:ascii="Times New Roman" w:hAnsi="Times New Roman" w:eastAsia="楷体" w:cs="Times New Roman"/>
                <w:bCs/>
                <w:szCs w:val="28"/>
              </w:rPr>
              <w:t>深茂铁路深圳至江门段（江门段）、珠海至肇庆铁路江门至珠三角枢纽机场段（新会段）、城市轨道交通一号线项目（新会段）、广佛江城际铁路（新会段）、珠肇高铁江门至珠海段（江门段）。</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bCs/>
                <w:szCs w:val="28"/>
              </w:rPr>
            </w:pPr>
            <w:r>
              <w:rPr>
                <w:rFonts w:ascii="Times New Roman" w:hAnsi="Times New Roman" w:eastAsia="楷体" w:cs="Times New Roman"/>
                <w:b/>
                <w:bCs/>
                <w:szCs w:val="28"/>
              </w:rPr>
              <w:t>二、高快速公路</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bCs/>
                <w:szCs w:val="28"/>
              </w:rPr>
            </w:pPr>
            <w:r>
              <w:rPr>
                <w:rFonts w:ascii="Times New Roman" w:hAnsi="Times New Roman" w:eastAsia="楷体" w:cs="Times New Roman"/>
                <w:b/>
                <w:bCs/>
                <w:szCs w:val="28"/>
              </w:rPr>
              <w:t>1.高速公路：</w:t>
            </w:r>
            <w:r>
              <w:rPr>
                <w:rFonts w:ascii="Times New Roman" w:hAnsi="Times New Roman" w:eastAsia="楷体" w:cs="Times New Roman"/>
                <w:szCs w:val="28"/>
              </w:rPr>
              <w:t>中开高速江门段、银洲湖高速（原新会至高栏港高速）、中江高速改扩建、南海至新会高速（原新台高速北延线）（新会段）、中江高速外海至睦洲支线、江鹤高速改扩建。</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Cs/>
                <w:szCs w:val="28"/>
              </w:rPr>
            </w:pPr>
            <w:r>
              <w:rPr>
                <w:rFonts w:ascii="Times New Roman" w:hAnsi="Times New Roman" w:eastAsia="楷体" w:cs="Times New Roman"/>
                <w:b/>
                <w:bCs/>
                <w:szCs w:val="28"/>
              </w:rPr>
              <w:t>2.快速路：</w:t>
            </w:r>
            <w:r>
              <w:rPr>
                <w:rFonts w:ascii="Times New Roman" w:hAnsi="Times New Roman" w:eastAsia="楷体" w:cs="Times New Roman"/>
                <w:szCs w:val="28"/>
              </w:rPr>
              <w:t>广佛江快速通道新会会城至崖门段工程、广佛江快速通道江门段（三江至南门大桥）工程、新中一级公路新建工程、会港大道一期工程、省道S364外海大桥至江门大道扩建工程。</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bCs/>
                <w:szCs w:val="28"/>
              </w:rPr>
            </w:pPr>
            <w:r>
              <w:rPr>
                <w:rFonts w:ascii="Times New Roman" w:hAnsi="Times New Roman" w:eastAsia="楷体" w:cs="Times New Roman"/>
                <w:b/>
                <w:bCs/>
                <w:szCs w:val="28"/>
              </w:rPr>
              <w:t>三、国省干线公路</w:t>
            </w:r>
          </w:p>
          <w:p>
            <w:pPr>
              <w:pBdr>
                <w:top w:val="none" w:color="auto" w:sz="0" w:space="0"/>
                <w:left w:val="none" w:color="auto" w:sz="0" w:space="0"/>
                <w:bottom w:val="none" w:color="auto" w:sz="0" w:space="0"/>
                <w:right w:val="none" w:color="auto" w:sz="0" w:space="0"/>
              </w:pBdr>
              <w:adjustRightInd/>
              <w:spacing w:line="400" w:lineRule="exact"/>
              <w:ind w:firstLine="560" w:firstLineChars="200"/>
              <w:jc w:val="both"/>
              <w:rPr>
                <w:rFonts w:ascii="Times New Roman" w:hAnsi="Times New Roman" w:eastAsia="楷体" w:cs="Times New Roman"/>
                <w:bCs/>
                <w:szCs w:val="28"/>
              </w:rPr>
            </w:pPr>
            <w:r>
              <w:rPr>
                <w:rFonts w:ascii="Times New Roman" w:hAnsi="Times New Roman" w:eastAsia="楷体" w:cs="Times New Roman"/>
                <w:bCs/>
                <w:szCs w:val="28"/>
              </w:rPr>
              <w:t>国道G240线新会会城至牛湾段改建工程、省道S270古港线新会城区段改线工程、省道S384线大泽至共和段改建工程、国道G240线新会雅逸尚都至潭江桥段路面改造、省道S271延长线新建公路工程一期（银垦大道）、省道S532线址山至司前段改建工程、省道S532线双水至罗坑改建工程、省道S385线双水至罗坑段改建工程、省道S269线江海至斗门段改建工程（胜利路南延线）等。</w:t>
            </w:r>
          </w:p>
          <w:p>
            <w:pPr>
              <w:numPr>
                <w:ilvl w:val="255"/>
                <w:numId w:val="0"/>
              </w:num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szCs w:val="28"/>
              </w:rPr>
            </w:pPr>
            <w:r>
              <w:rPr>
                <w:rFonts w:ascii="Times New Roman" w:hAnsi="Times New Roman" w:eastAsia="楷体" w:cs="Times New Roman"/>
                <w:b/>
                <w:szCs w:val="28"/>
              </w:rPr>
              <w:t>四、县（乡）道及重要联系道路</w:t>
            </w:r>
          </w:p>
          <w:p>
            <w:pPr>
              <w:pBdr>
                <w:top w:val="none" w:color="auto" w:sz="0" w:space="0"/>
                <w:left w:val="none" w:color="auto" w:sz="0" w:space="0"/>
                <w:bottom w:val="none" w:color="auto" w:sz="0" w:space="0"/>
                <w:right w:val="none" w:color="auto" w:sz="0" w:space="0"/>
              </w:pBdr>
              <w:adjustRightInd/>
              <w:spacing w:line="400" w:lineRule="exact"/>
              <w:ind w:firstLine="560" w:firstLineChars="200"/>
              <w:jc w:val="both"/>
              <w:rPr>
                <w:rFonts w:ascii="Times New Roman" w:hAnsi="Times New Roman" w:eastAsia="楷体" w:cs="Times New Roman"/>
                <w:bCs/>
                <w:szCs w:val="28"/>
              </w:rPr>
            </w:pPr>
            <w:r>
              <w:rPr>
                <w:rFonts w:ascii="Times New Roman" w:hAnsi="Times New Roman" w:eastAsia="楷体" w:cs="Times New Roman"/>
                <w:bCs/>
                <w:szCs w:val="28"/>
              </w:rPr>
              <w:t>银鹭大道东延线工程、国道G228至华立学院连接公路工程、沙堆至古井公路工程等。</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szCs w:val="28"/>
              </w:rPr>
            </w:pPr>
            <w:r>
              <w:rPr>
                <w:rFonts w:ascii="Times New Roman" w:hAnsi="Times New Roman" w:eastAsia="楷体" w:cs="Times New Roman"/>
                <w:b/>
                <w:szCs w:val="28"/>
              </w:rPr>
              <w:t>五、港口航道</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szCs w:val="28"/>
              </w:rPr>
            </w:pPr>
            <w:r>
              <w:rPr>
                <w:rFonts w:ascii="Times New Roman" w:hAnsi="Times New Roman" w:eastAsia="楷体" w:cs="Times New Roman"/>
                <w:b/>
                <w:szCs w:val="28"/>
              </w:rPr>
              <w:t>1.港口：</w:t>
            </w:r>
            <w:r>
              <w:rPr>
                <w:rFonts w:ascii="Times New Roman" w:hAnsi="Times New Roman" w:eastAsia="楷体" w:cs="Times New Roman"/>
                <w:bCs/>
                <w:szCs w:val="28"/>
              </w:rPr>
              <w:t>高宝隆物流基地码头工程、嘉洋矿物材料精细加工项目配套码头工程、亚太纸业项目配套码头工程、双水发电厂5000吨级码头工程、江门鸿达造船有限公司码头新建工程、新会港区博元实业多用途码头工程、江门市恒达管桩有限公司配套码头项目等。</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Cs/>
                <w:szCs w:val="28"/>
              </w:rPr>
            </w:pPr>
            <w:r>
              <w:rPr>
                <w:rFonts w:ascii="Times New Roman" w:hAnsi="Times New Roman" w:eastAsia="楷体" w:cs="Times New Roman"/>
                <w:b/>
                <w:szCs w:val="28"/>
              </w:rPr>
              <w:t>2.航道：</w:t>
            </w:r>
            <w:r>
              <w:rPr>
                <w:rFonts w:ascii="Times New Roman" w:hAnsi="Times New Roman" w:eastAsia="楷体" w:cs="Times New Roman"/>
                <w:bCs/>
                <w:szCs w:val="28"/>
              </w:rPr>
              <w:t>崖门出海航道二期工程（原名：崖门万吨级航道整治工程）。</w:t>
            </w:r>
          </w:p>
          <w:p>
            <w:pPr>
              <w:pBdr>
                <w:top w:val="none" w:color="auto" w:sz="0" w:space="0"/>
                <w:left w:val="none" w:color="auto" w:sz="0" w:space="0"/>
                <w:bottom w:val="none" w:color="auto" w:sz="0" w:space="0"/>
                <w:right w:val="none" w:color="auto" w:sz="0" w:space="0"/>
              </w:pBdr>
              <w:adjustRightInd/>
              <w:spacing w:line="400" w:lineRule="exact"/>
              <w:ind w:firstLine="562" w:firstLineChars="200"/>
              <w:jc w:val="both"/>
              <w:rPr>
                <w:rFonts w:ascii="Times New Roman" w:hAnsi="Times New Roman" w:eastAsia="楷体" w:cs="Times New Roman"/>
                <w:b/>
                <w:szCs w:val="28"/>
              </w:rPr>
            </w:pPr>
            <w:r>
              <w:rPr>
                <w:rFonts w:ascii="Times New Roman" w:hAnsi="Times New Roman" w:eastAsia="楷体" w:cs="Times New Roman"/>
                <w:b/>
                <w:szCs w:val="28"/>
              </w:rPr>
              <w:t>六、客运枢纽场站</w:t>
            </w:r>
          </w:p>
          <w:p>
            <w:pPr>
              <w:pBdr>
                <w:top w:val="none" w:color="auto" w:sz="0" w:space="0"/>
                <w:left w:val="none" w:color="auto" w:sz="0" w:space="0"/>
                <w:bottom w:val="none" w:color="auto" w:sz="0" w:space="0"/>
                <w:right w:val="none" w:color="auto" w:sz="0" w:space="0"/>
              </w:pBdr>
              <w:adjustRightInd/>
              <w:spacing w:line="400" w:lineRule="exact"/>
              <w:ind w:firstLine="560" w:firstLineChars="200"/>
              <w:jc w:val="both"/>
              <w:rPr>
                <w:rFonts w:ascii="Times New Roman" w:hAnsi="Times New Roman" w:eastAsia="楷体" w:cs="Times New Roman"/>
                <w:bCs/>
                <w:szCs w:val="28"/>
              </w:rPr>
            </w:pPr>
            <w:r>
              <w:rPr>
                <w:rFonts w:ascii="Times New Roman" w:hAnsi="Times New Roman" w:eastAsia="楷体" w:cs="Times New Roman"/>
                <w:bCs/>
                <w:szCs w:val="28"/>
              </w:rPr>
              <w:t>新会司前汽车客运站、沙堆四合一客运站。</w:t>
            </w:r>
          </w:p>
        </w:tc>
      </w:tr>
    </w:tbl>
    <w:p>
      <w:pPr>
        <w:pStyle w:val="3"/>
        <w:spacing w:line="560" w:lineRule="exact"/>
        <w:jc w:val="center"/>
        <w:rPr>
          <w:rFonts w:ascii="Times New Roman" w:hAnsi="Times New Roman" w:eastAsia="楷体_GB2312"/>
          <w:b w:val="0"/>
        </w:rPr>
      </w:pPr>
      <w:bookmarkStart w:id="154" w:name="_Toc61946339"/>
      <w:r>
        <w:rPr>
          <w:rFonts w:ascii="Times New Roman" w:hAnsi="Times New Roman" w:eastAsia="楷体_GB2312"/>
          <w:b w:val="0"/>
        </w:rPr>
        <w:t>第二节 完善基础设施建设</w:t>
      </w:r>
      <w:bookmarkEnd w:id="154"/>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加快完善水利设施建设。</w:t>
      </w:r>
      <w:r>
        <w:rPr>
          <w:rFonts w:ascii="Times New Roman" w:eastAsia="仿宋_GB2312" w:cs="Times New Roman"/>
          <w:sz w:val="32"/>
          <w:szCs w:val="32"/>
        </w:rPr>
        <w:t>加强防洪治涝薄弱环节建设，继续实施水库、水闸、堤防除险加固、城乡治涝工程、河流综合治理，加快江新联围加固、潭江河流治理工程等项目建设，推进甜水水库建设，保障银湖湾滨海新区用水。推动</w:t>
      </w:r>
      <w:r>
        <w:rPr>
          <w:rFonts w:ascii="Times New Roman" w:hAnsi="仿宋_GB2312" w:eastAsia="仿宋_GB2312" w:cs="Times New Roman"/>
          <w:bCs/>
          <w:sz w:val="32"/>
          <w:szCs w:val="32"/>
        </w:rPr>
        <w:t>大鳌等岸线整治和围堤加固升级工程建设，提升农渔水利支撑能力。</w:t>
      </w:r>
      <w:r>
        <w:rPr>
          <w:rFonts w:ascii="Times New Roman" w:eastAsia="仿宋_GB2312" w:cs="Times New Roman"/>
          <w:sz w:val="32"/>
          <w:szCs w:val="32"/>
        </w:rPr>
        <w:t>强化水利工程标准化信息化管理手段，推进智慧水利管理系统建设，提升监管水平，打造安全可靠的水利保障体系。推进城乡供水一体化建设，实施城镇供水设施、城乡供水一体化等工程，提升供水保障能力。</w:t>
      </w:r>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健全能源基础设施建设。</w:t>
      </w:r>
      <w:r>
        <w:rPr>
          <w:rFonts w:ascii="Times New Roman" w:eastAsia="仿宋_GB2312" w:cs="Times New Roman"/>
          <w:sz w:val="32"/>
          <w:szCs w:val="32"/>
        </w:rPr>
        <w:t>推进电、油、气等能源产供储销体系建设，构建安全高效现代化的能源供应体系。优化电网建设。积极探索推进电力市场化改革。加快新会双水电厂</w:t>
      </w:r>
      <w:r>
        <w:rPr>
          <w:rFonts w:ascii="Times New Roman" w:hAnsi="Times New Roman" w:eastAsia="仿宋_GB2312" w:cs="Times New Roman"/>
          <w:sz w:val="32"/>
          <w:szCs w:val="32"/>
        </w:rPr>
        <w:t>“</w:t>
      </w:r>
      <w:r>
        <w:rPr>
          <w:rFonts w:ascii="Times New Roman" w:eastAsia="仿宋_GB2312" w:cs="Times New Roman"/>
          <w:sz w:val="32"/>
          <w:szCs w:val="32"/>
        </w:rPr>
        <w:t>上大压小</w:t>
      </w:r>
      <w:r>
        <w:rPr>
          <w:rFonts w:ascii="Times New Roman" w:hAnsi="Times New Roman" w:eastAsia="仿宋_GB2312" w:cs="Times New Roman"/>
          <w:sz w:val="32"/>
          <w:szCs w:val="32"/>
        </w:rPr>
        <w:t>”</w:t>
      </w:r>
      <w:r>
        <w:rPr>
          <w:rFonts w:ascii="Times New Roman" w:eastAsia="仿宋_GB2312" w:cs="Times New Roman"/>
          <w:sz w:val="32"/>
          <w:szCs w:val="32"/>
        </w:rPr>
        <w:t>燃煤热电联产项目及古井、三江、沙堆片区集中供热项目建设，完善各工业片区集中供热项目供热管网。</w:t>
      </w:r>
      <w:r>
        <w:rPr>
          <w:rFonts w:ascii="Times New Roman" w:hAnsi="Times New Roman" w:eastAsia="仿宋_GB2312" w:cs="Times New Roman"/>
          <w:sz w:val="32"/>
          <w:szCs w:val="32"/>
        </w:rPr>
        <w:t>推动新会发电厂天然气热电联产二期工程（扩建）项目建设。积极对接国家电投集团，探索在能源基础设施建设领域开展合作。</w:t>
      </w:r>
      <w:r>
        <w:rPr>
          <w:rFonts w:ascii="Times New Roman" w:hAnsi="仿宋_GB2312" w:eastAsia="仿宋_GB2312" w:cs="Times New Roman"/>
          <w:sz w:val="32"/>
          <w:szCs w:val="32"/>
        </w:rPr>
        <w:t>进一步完善管网横向延伸区域，</w:t>
      </w:r>
      <w:r>
        <w:rPr>
          <w:rFonts w:ascii="Times New Roman" w:eastAsia="仿宋_GB2312" w:cs="Times New Roman"/>
          <w:sz w:val="32"/>
          <w:szCs w:val="32"/>
        </w:rPr>
        <w:t>保障天然气供应设施建设，推进珠中江区域天然气主干管网项目（江门段）建设。加快能源结构优化调整，多举措促进天然气应用。推进加油站布点建设，保障成品油供应。</w:t>
      </w:r>
    </w:p>
    <w:p>
      <w:pPr>
        <w:adjustRightInd/>
        <w:spacing w:line="560" w:lineRule="exact"/>
        <w:ind w:firstLine="640" w:firstLineChars="200"/>
        <w:jc w:val="both"/>
        <w:rPr>
          <w:rFonts w:ascii="Times New Roman" w:hAnsi="Times New Roman" w:eastAsia="仿宋_GB2312" w:cs="Times New Roman"/>
          <w:sz w:val="32"/>
          <w:szCs w:val="32"/>
        </w:rPr>
      </w:pPr>
    </w:p>
    <w:p>
      <w:pPr>
        <w:pStyle w:val="3"/>
        <w:spacing w:line="560" w:lineRule="exact"/>
        <w:jc w:val="center"/>
        <w:rPr>
          <w:rFonts w:ascii="Times New Roman" w:hAnsi="Times New Roman" w:eastAsia="楷体_GB2312"/>
          <w:b w:val="0"/>
        </w:rPr>
      </w:pPr>
      <w:bookmarkStart w:id="155" w:name="_Toc31507"/>
      <w:bookmarkStart w:id="156" w:name="_Toc61946340"/>
      <w:bookmarkStart w:id="157" w:name="_Toc452"/>
      <w:bookmarkStart w:id="158" w:name="_Toc60738040"/>
      <w:bookmarkStart w:id="159" w:name="_Toc9555"/>
      <w:r>
        <w:rPr>
          <w:rFonts w:ascii="Times New Roman" w:hAnsi="Times New Roman" w:eastAsia="楷体_GB2312"/>
          <w:b w:val="0"/>
        </w:rPr>
        <w:t>第三节 建设新型智慧城区</w:t>
      </w:r>
      <w:bookmarkEnd w:id="155"/>
      <w:bookmarkEnd w:id="156"/>
      <w:bookmarkEnd w:id="157"/>
      <w:bookmarkEnd w:id="158"/>
      <w:bookmarkEnd w:id="159"/>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加快智慧城市基础设施建设。</w:t>
      </w:r>
      <w:r>
        <w:rPr>
          <w:rFonts w:ascii="Times New Roman" w:hAnsi="Times New Roman" w:eastAsia="仿宋_GB2312" w:cs="Times New Roman"/>
          <w:sz w:val="32"/>
          <w:szCs w:val="32"/>
        </w:rPr>
        <w:t>加强大数据、5G等新技术应用，大力发展工业互联网、物联网等新基建，实现5G网络全覆盖。构建覆盖城乡的智能化便民服务体系，</w:t>
      </w:r>
      <w:r>
        <w:rPr>
          <w:rFonts w:ascii="Times New Roman" w:hAnsi="仿宋_GB2312" w:eastAsia="仿宋_GB2312" w:cs="Times New Roman"/>
          <w:sz w:val="32"/>
          <w:szCs w:val="32"/>
        </w:rPr>
        <w:t>提升城市信息基础设施智能化水平，全面支撑智慧城市发展。加强数字化公共服务供给</w:t>
      </w:r>
      <w:r>
        <w:rPr>
          <w:rFonts w:hint="eastAsia" w:ascii="Times New Roman" w:hAnsi="仿宋_GB2312" w:eastAsia="仿宋_GB2312" w:cs="Times New Roman"/>
          <w:sz w:val="32"/>
          <w:szCs w:val="32"/>
        </w:rPr>
        <w:t>，深化</w:t>
      </w:r>
      <w:r>
        <w:rPr>
          <w:rFonts w:ascii="Times New Roman" w:hAnsi="仿宋_GB2312" w:eastAsia="仿宋_GB2312" w:cs="Times New Roman"/>
          <w:sz w:val="32"/>
          <w:szCs w:val="32"/>
        </w:rPr>
        <w:t>健康医疗、教育</w:t>
      </w:r>
      <w:r>
        <w:rPr>
          <w:rFonts w:hint="eastAsia" w:ascii="Times New Roman" w:hAnsi="仿宋_GB2312" w:eastAsia="仿宋_GB2312" w:cs="Times New Roman"/>
          <w:sz w:val="32"/>
          <w:szCs w:val="32"/>
        </w:rPr>
        <w:t>领域</w:t>
      </w:r>
      <w:r>
        <w:rPr>
          <w:rFonts w:ascii="Times New Roman" w:hAnsi="仿宋_GB2312" w:eastAsia="仿宋_GB2312" w:cs="Times New Roman"/>
          <w:sz w:val="32"/>
          <w:szCs w:val="32"/>
        </w:rPr>
        <w:t>大数据</w:t>
      </w:r>
      <w:r>
        <w:rPr>
          <w:rFonts w:hint="eastAsia" w:ascii="Times New Roman" w:hAnsi="仿宋_GB2312" w:eastAsia="仿宋_GB2312" w:cs="Times New Roman"/>
          <w:sz w:val="32"/>
          <w:szCs w:val="32"/>
        </w:rPr>
        <w:t>与智慧场景应用</w:t>
      </w:r>
      <w:r>
        <w:rPr>
          <w:rFonts w:ascii="Times New Roman" w:hAnsi="仿宋_GB2312" w:eastAsia="仿宋_GB2312" w:cs="Times New Roman"/>
          <w:sz w:val="32"/>
          <w:szCs w:val="32"/>
        </w:rPr>
        <w:t>，增强城市生活便利度。</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推进智慧城市精细化管理。</w:t>
      </w:r>
      <w:r>
        <w:rPr>
          <w:rFonts w:ascii="Times New Roman" w:hAnsi="仿宋_GB2312" w:eastAsia="仿宋_GB2312" w:cs="Times New Roman"/>
          <w:sz w:val="32"/>
          <w:szCs w:val="32"/>
        </w:rPr>
        <w:t>进一步完善智能交通系统，集成智慧公交平台，建设重点车辆监管系统，完善交通信号控制、智慧诱导等系统。推进智慧综合治理系统，完成视联网和公共视频资源共享平台建设，进一步推进视频图像信息及各类数据资源深度应用，开展在城乡社会治理、维护稳定、打击犯罪、反恐防暴等领域的应用。完成</w:t>
      </w:r>
      <w:r>
        <w:rPr>
          <w:rFonts w:ascii="Times New Roman" w:hAnsi="Times New Roman" w:eastAsia="仿宋_GB2312" w:cs="Times New Roman"/>
          <w:sz w:val="32"/>
          <w:szCs w:val="32"/>
        </w:rPr>
        <w:t>“</w:t>
      </w:r>
      <w:r>
        <w:rPr>
          <w:rFonts w:ascii="Times New Roman" w:hAnsi="仿宋_GB2312" w:eastAsia="仿宋_GB2312" w:cs="Times New Roman"/>
          <w:sz w:val="32"/>
          <w:szCs w:val="32"/>
        </w:rPr>
        <w:t>多规合一</w:t>
      </w:r>
      <w:r>
        <w:rPr>
          <w:rFonts w:ascii="Times New Roman" w:hAnsi="Times New Roman" w:eastAsia="仿宋_GB2312" w:cs="Times New Roman"/>
          <w:sz w:val="32"/>
          <w:szCs w:val="32"/>
        </w:rPr>
        <w:t>”</w:t>
      </w:r>
      <w:r>
        <w:rPr>
          <w:rFonts w:ascii="Times New Roman" w:hAnsi="仿宋_GB2312" w:eastAsia="仿宋_GB2312" w:cs="Times New Roman"/>
          <w:sz w:val="32"/>
          <w:szCs w:val="32"/>
        </w:rPr>
        <w:t>信息平台建设，实现流程再造、并联审批和决策支持。</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建设智慧民生服务平台。</w:t>
      </w:r>
      <w:r>
        <w:rPr>
          <w:rFonts w:ascii="Times New Roman" w:hAnsi="仿宋_GB2312" w:eastAsia="仿宋_GB2312" w:cs="Times New Roman"/>
          <w:sz w:val="32"/>
          <w:szCs w:val="32"/>
        </w:rPr>
        <w:t>强化政务服务</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一网通办</w:t>
      </w:r>
      <w:r>
        <w:rPr>
          <w:rFonts w:ascii="Times New Roman" w:hAnsi="Times New Roman" w:eastAsia="仿宋_GB2312" w:cs="Times New Roman"/>
          <w:sz w:val="32"/>
          <w:szCs w:val="32"/>
        </w:rPr>
        <w:t>”</w:t>
      </w:r>
      <w:r>
        <w:rPr>
          <w:rFonts w:ascii="Times New Roman" w:hAnsi="仿宋_GB2312" w:eastAsia="仿宋_GB2312" w:cs="Times New Roman"/>
          <w:sz w:val="32"/>
          <w:szCs w:val="32"/>
        </w:rPr>
        <w:t>能力，实现江门市政服务一体化平台与</w:t>
      </w:r>
      <w:r>
        <w:rPr>
          <w:rFonts w:ascii="Times New Roman" w:hAnsi="Times New Roman" w:eastAsia="仿宋_GB2312" w:cs="Times New Roman"/>
          <w:sz w:val="32"/>
          <w:szCs w:val="32"/>
        </w:rPr>
        <w:t>“</w:t>
      </w:r>
      <w:r>
        <w:rPr>
          <w:rFonts w:ascii="Times New Roman" w:hAnsi="仿宋_GB2312" w:eastAsia="仿宋_GB2312" w:cs="Times New Roman"/>
          <w:sz w:val="32"/>
          <w:szCs w:val="32"/>
        </w:rPr>
        <w:t>粤省事</w:t>
      </w:r>
      <w:r>
        <w:rPr>
          <w:rFonts w:ascii="Times New Roman" w:hAnsi="Times New Roman" w:eastAsia="仿宋_GB2312" w:cs="Times New Roman"/>
          <w:sz w:val="32"/>
          <w:szCs w:val="32"/>
        </w:rPr>
        <w:t>”</w:t>
      </w:r>
      <w:r>
        <w:rPr>
          <w:rFonts w:ascii="Times New Roman" w:hAnsi="仿宋_GB2312" w:eastAsia="仿宋_GB2312" w:cs="Times New Roman"/>
          <w:sz w:val="32"/>
          <w:szCs w:val="32"/>
        </w:rPr>
        <w:t>微信公众号、</w:t>
      </w:r>
      <w:r>
        <w:rPr>
          <w:rFonts w:ascii="Times New Roman" w:hAnsi="Times New Roman" w:eastAsia="仿宋_GB2312" w:cs="Times New Roman"/>
          <w:sz w:val="32"/>
          <w:szCs w:val="32"/>
        </w:rPr>
        <w:t>“</w:t>
      </w:r>
      <w:r>
        <w:rPr>
          <w:rFonts w:ascii="Times New Roman" w:hAnsi="仿宋_GB2312" w:eastAsia="仿宋_GB2312" w:cs="Times New Roman"/>
          <w:sz w:val="32"/>
          <w:szCs w:val="32"/>
        </w:rPr>
        <w:t>侨都之窗</w:t>
      </w:r>
      <w:r>
        <w:rPr>
          <w:rFonts w:ascii="Times New Roman" w:hAnsi="Times New Roman" w:eastAsia="仿宋_GB2312" w:cs="Times New Roman"/>
          <w:sz w:val="32"/>
          <w:szCs w:val="32"/>
        </w:rPr>
        <w:t>”</w:t>
      </w:r>
      <w:r>
        <w:rPr>
          <w:rFonts w:ascii="Times New Roman" w:hAnsi="仿宋_GB2312" w:eastAsia="仿宋_GB2312" w:cs="Times New Roman"/>
          <w:sz w:val="32"/>
          <w:szCs w:val="32"/>
        </w:rPr>
        <w:t>自助终端、</w:t>
      </w:r>
      <w:r>
        <w:rPr>
          <w:rFonts w:ascii="Times New Roman" w:hAnsi="Times New Roman" w:eastAsia="仿宋_GB2312" w:cs="Times New Roman"/>
          <w:sz w:val="32"/>
          <w:szCs w:val="32"/>
        </w:rPr>
        <w:t>“</w:t>
      </w:r>
      <w:r>
        <w:rPr>
          <w:rFonts w:ascii="Times New Roman" w:hAnsi="仿宋_GB2312" w:eastAsia="仿宋_GB2312" w:cs="Times New Roman"/>
          <w:sz w:val="32"/>
          <w:szCs w:val="32"/>
        </w:rPr>
        <w:t>江门易办事</w:t>
      </w:r>
      <w:r>
        <w:rPr>
          <w:rFonts w:ascii="Times New Roman" w:hAnsi="Times New Roman" w:eastAsia="仿宋_GB2312" w:cs="Times New Roman"/>
          <w:sz w:val="32"/>
          <w:szCs w:val="32"/>
        </w:rPr>
        <w:t>”</w:t>
      </w:r>
      <w:r>
        <w:rPr>
          <w:rFonts w:ascii="Times New Roman" w:hAnsi="仿宋_GB2312" w:eastAsia="仿宋_GB2312" w:cs="Times New Roman"/>
          <w:sz w:val="32"/>
          <w:szCs w:val="32"/>
        </w:rPr>
        <w:t>手机等多种客户端的无缝链接。加快集成智慧交通、智慧教育、智慧社区、智慧文旅、数字档案、</w:t>
      </w:r>
      <w:r>
        <w:rPr>
          <w:rFonts w:hint="eastAsia" w:ascii="Times New Roman" w:hAnsi="仿宋_GB2312" w:eastAsia="仿宋_GB2312" w:cs="Times New Roman"/>
          <w:sz w:val="32"/>
          <w:szCs w:val="32"/>
        </w:rPr>
        <w:t>乡村振兴</w:t>
      </w:r>
      <w:r>
        <w:rPr>
          <w:rFonts w:ascii="Times New Roman" w:hAnsi="仿宋_GB2312" w:eastAsia="仿宋_GB2312" w:cs="Times New Roman"/>
          <w:sz w:val="32"/>
          <w:szCs w:val="32"/>
        </w:rPr>
        <w:t>、社会信用服务等应用功能。完善和增强</w:t>
      </w:r>
      <w:r>
        <w:rPr>
          <w:rFonts w:ascii="Times New Roman" w:hAnsi="Times New Roman" w:eastAsia="仿宋_GB2312" w:cs="Times New Roman"/>
          <w:sz w:val="32"/>
          <w:szCs w:val="32"/>
        </w:rPr>
        <w:t>“12345”</w:t>
      </w:r>
      <w:r>
        <w:rPr>
          <w:rFonts w:ascii="Times New Roman" w:hAnsi="仿宋_GB2312" w:eastAsia="仿宋_GB2312" w:cs="Times New Roman"/>
          <w:sz w:val="32"/>
          <w:szCs w:val="32"/>
        </w:rPr>
        <w:t>热线服务平台功能。</w:t>
      </w:r>
    </w:p>
    <w:p>
      <w:pPr>
        <w:widowControl/>
        <w:pBdr>
          <w:top w:val="none" w:color="auto" w:sz="0" w:space="0"/>
          <w:left w:val="none" w:color="auto" w:sz="0" w:space="0"/>
          <w:bottom w:val="none" w:color="auto" w:sz="0" w:space="0"/>
          <w:right w:val="none" w:color="auto" w:sz="0" w:space="0"/>
        </w:pBdr>
        <w:adjustRightInd/>
        <w:ind w:firstLine="0"/>
        <w:rPr>
          <w:rFonts w:ascii="Times New Roman" w:hAnsi="Times New Roman" w:eastAsia="黑体" w:cs="Times New Roman"/>
          <w:kern w:val="44"/>
          <w:sz w:val="32"/>
          <w:szCs w:val="32"/>
        </w:rPr>
      </w:pPr>
      <w:bookmarkStart w:id="160" w:name="_Toc200"/>
      <w:bookmarkStart w:id="161" w:name="_Toc60738044"/>
      <w:bookmarkStart w:id="162" w:name="_Toc8784"/>
      <w:bookmarkStart w:id="163" w:name="_Toc19515"/>
      <w:bookmarkStart w:id="164" w:name="_Toc19360"/>
      <w:r>
        <w:rPr>
          <w:rFonts w:ascii="Times New Roman" w:hAnsi="Times New Roman" w:cs="Times New Roman"/>
          <w:b/>
          <w:szCs w:val="32"/>
        </w:rPr>
        <w:br w:type="page"/>
      </w:r>
    </w:p>
    <w:p>
      <w:pPr>
        <w:pStyle w:val="2"/>
        <w:snapToGrid w:val="0"/>
        <w:spacing w:line="560" w:lineRule="exact"/>
        <w:contextualSpacing/>
        <w:rPr>
          <w:rFonts w:ascii="Times New Roman" w:hAnsi="Times New Roman"/>
          <w:b w:val="0"/>
          <w:szCs w:val="32"/>
        </w:rPr>
      </w:pPr>
      <w:bookmarkStart w:id="165" w:name="_Toc61946341"/>
      <w:r>
        <w:rPr>
          <w:rFonts w:ascii="Times New Roman" w:hAnsi="黑体"/>
          <w:b w:val="0"/>
          <w:szCs w:val="32"/>
        </w:rPr>
        <w:t>第八章</w:t>
      </w:r>
      <w:r>
        <w:rPr>
          <w:rFonts w:hint="eastAsia" w:ascii="Times New Roman" w:hAnsi="黑体"/>
          <w:b w:val="0"/>
          <w:szCs w:val="32"/>
          <w:lang w:val="en-US" w:eastAsia="zh-CN"/>
        </w:rPr>
        <w:t xml:space="preserve"> </w:t>
      </w:r>
      <w:r>
        <w:rPr>
          <w:rFonts w:ascii="Times New Roman" w:hAnsi="黑体"/>
          <w:b w:val="0"/>
          <w:szCs w:val="32"/>
        </w:rPr>
        <w:t>全面深化改革</w:t>
      </w:r>
      <w:r>
        <w:rPr>
          <w:rFonts w:hint="eastAsia" w:ascii="Times New Roman" w:hAnsi="黑体"/>
          <w:b w:val="0"/>
          <w:szCs w:val="32"/>
          <w:lang w:val="en-US" w:eastAsia="zh-CN"/>
        </w:rPr>
        <w:t xml:space="preserve"> </w:t>
      </w:r>
      <w:r>
        <w:rPr>
          <w:rFonts w:ascii="Times New Roman" w:hAnsi="黑体"/>
          <w:b w:val="0"/>
          <w:szCs w:val="32"/>
        </w:rPr>
        <w:t>激发现代化建设新活力</w:t>
      </w:r>
      <w:bookmarkEnd w:id="165"/>
    </w:p>
    <w:bookmarkEnd w:id="160"/>
    <w:bookmarkEnd w:id="161"/>
    <w:bookmarkEnd w:id="162"/>
    <w:bookmarkEnd w:id="163"/>
    <w:bookmarkEnd w:id="164"/>
    <w:p>
      <w:pPr>
        <w:adjustRightInd/>
        <w:spacing w:line="560" w:lineRule="exact"/>
        <w:ind w:firstLine="640" w:firstLineChars="200"/>
        <w:jc w:val="both"/>
        <w:rPr>
          <w:rFonts w:ascii="Times New Roman" w:hAnsi="Times New Roman" w:cs="Times New Roman"/>
          <w:b/>
        </w:rPr>
      </w:pPr>
      <w:r>
        <w:rPr>
          <w:rFonts w:ascii="Times New Roman" w:hAnsi="仿宋_GB2312" w:eastAsia="仿宋_GB2312" w:cs="Times New Roman"/>
          <w:bCs/>
          <w:sz w:val="32"/>
          <w:szCs w:val="32"/>
        </w:rPr>
        <w:t>聚焦制约发展的突出问题，对接</w:t>
      </w:r>
      <w:r>
        <w:rPr>
          <w:rFonts w:hint="eastAsia" w:ascii="Times New Roman" w:hAnsi="仿宋_GB2312" w:eastAsia="仿宋_GB2312" w:cs="Times New Roman"/>
          <w:bCs/>
          <w:sz w:val="32"/>
          <w:szCs w:val="32"/>
        </w:rPr>
        <w:t>大</w:t>
      </w:r>
      <w:r>
        <w:rPr>
          <w:rFonts w:ascii="Times New Roman" w:hAnsi="仿宋_GB2312" w:eastAsia="仿宋_GB2312" w:cs="Times New Roman"/>
          <w:bCs/>
          <w:sz w:val="32"/>
          <w:szCs w:val="32"/>
        </w:rPr>
        <w:t>湾区</w:t>
      </w:r>
      <w:r>
        <w:rPr>
          <w:rFonts w:hint="eastAsia" w:ascii="Times New Roman" w:hAnsi="仿宋_GB2312" w:eastAsia="仿宋_GB2312" w:cs="Times New Roman"/>
          <w:bCs/>
          <w:sz w:val="32"/>
          <w:szCs w:val="32"/>
        </w:rPr>
        <w:t>核心</w:t>
      </w:r>
      <w:r>
        <w:rPr>
          <w:rFonts w:ascii="Times New Roman" w:hAnsi="仿宋_GB2312" w:eastAsia="仿宋_GB2312" w:cs="Times New Roman"/>
          <w:bCs/>
          <w:sz w:val="32"/>
          <w:szCs w:val="32"/>
        </w:rPr>
        <w:t>城市的先进规则标准，以更大魄力推进改革开放，更好发挥政府作用，</w:t>
      </w:r>
      <w:r>
        <w:rPr>
          <w:rFonts w:hint="eastAsia" w:ascii="仿宋_GB2312" w:hAnsi="仿宋_GB2312" w:eastAsia="仿宋_GB2312" w:cs="仿宋_GB2312"/>
          <w:bCs/>
          <w:sz w:val="32"/>
          <w:szCs w:val="32"/>
        </w:rPr>
        <w:t>推动有效市场和有为政府更好结合，激活市场主体活力，充分发挥市场在资源配置中的决定性作用，</w:t>
      </w:r>
      <w:r>
        <w:rPr>
          <w:rFonts w:ascii="Times New Roman" w:hAnsi="仿宋_GB2312" w:eastAsia="仿宋_GB2312" w:cs="Times New Roman"/>
          <w:bCs/>
          <w:sz w:val="32"/>
          <w:szCs w:val="32"/>
        </w:rPr>
        <w:t>释放全社会创新创业创造动能。</w:t>
      </w:r>
    </w:p>
    <w:p>
      <w:pPr>
        <w:pStyle w:val="3"/>
        <w:numPr>
          <w:ilvl w:val="0"/>
          <w:numId w:val="1"/>
        </w:numPr>
        <w:spacing w:line="560" w:lineRule="exact"/>
        <w:jc w:val="center"/>
        <w:rPr>
          <w:rFonts w:ascii="Times New Roman" w:hAnsi="Times New Roman" w:eastAsia="楷体_GB2312"/>
          <w:b w:val="0"/>
        </w:rPr>
      </w:pPr>
      <w:bookmarkStart w:id="166" w:name="_Toc61946342"/>
      <w:bookmarkStart w:id="167" w:name="_Toc23584"/>
      <w:bookmarkStart w:id="168" w:name="_Toc21663"/>
      <w:bookmarkStart w:id="169" w:name="_Toc30693"/>
      <w:r>
        <w:rPr>
          <w:rFonts w:ascii="Times New Roman" w:hAnsi="Times New Roman" w:eastAsia="楷体_GB2312"/>
          <w:b w:val="0"/>
        </w:rPr>
        <w:t>强化重点领域改革</w:t>
      </w:r>
      <w:bookmarkEnd w:id="166"/>
      <w:bookmarkEnd w:id="167"/>
      <w:bookmarkEnd w:id="168"/>
      <w:bookmarkEnd w:id="169"/>
    </w:p>
    <w:p>
      <w:pPr>
        <w:numPr>
          <w:ilvl w:val="255"/>
          <w:numId w:val="0"/>
        </w:num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学习复制先进地区改革经</w:t>
      </w:r>
      <w:r>
        <w:rPr>
          <w:rFonts w:hint="eastAsia" w:ascii="Times New Roman" w:hAnsi="仿宋_GB2312" w:eastAsia="仿宋_GB2312" w:cs="Times New Roman"/>
          <w:b/>
          <w:sz w:val="32"/>
          <w:szCs w:val="32"/>
        </w:rPr>
        <w:t>验</w:t>
      </w:r>
      <w:r>
        <w:rPr>
          <w:rFonts w:ascii="Times New Roman" w:hAnsi="仿宋_GB2312" w:eastAsia="仿宋_GB2312" w:cs="Times New Roman"/>
          <w:b/>
          <w:sz w:val="32"/>
          <w:szCs w:val="32"/>
        </w:rPr>
        <w:t>做法。</w:t>
      </w:r>
      <w:r>
        <w:rPr>
          <w:rFonts w:ascii="Times New Roman" w:hAnsi="仿宋_GB2312" w:eastAsia="仿宋_GB2312" w:cs="Times New Roman"/>
          <w:sz w:val="32"/>
          <w:szCs w:val="32"/>
        </w:rPr>
        <w:t>积极推进湾区规则衔接，主动复制推广</w:t>
      </w:r>
      <w:r>
        <w:rPr>
          <w:rFonts w:ascii="Times New Roman" w:hAnsi="Times New Roman" w:eastAsia="仿宋_GB2312" w:cs="Times New Roman"/>
          <w:sz w:val="32"/>
          <w:szCs w:val="32"/>
        </w:rPr>
        <w:t>深圳</w:t>
      </w:r>
      <w:r>
        <w:rPr>
          <w:rFonts w:ascii="Times New Roman" w:hAnsi="Times New Roman" w:eastAsia="仿宋_GB2312" w:cs="Times New Roman"/>
          <w:bCs/>
          <w:sz w:val="32"/>
          <w:szCs w:val="32"/>
        </w:rPr>
        <w:t>社会主义先行示范区</w:t>
      </w:r>
      <w:r>
        <w:rPr>
          <w:rFonts w:ascii="Times New Roman" w:hAnsi="仿宋_GB2312" w:eastAsia="仿宋_GB2312" w:cs="Times New Roman"/>
          <w:sz w:val="32"/>
          <w:szCs w:val="32"/>
        </w:rPr>
        <w:t>综合改革先进经验，聚焦要素市场化配置体制机制、市场化法治化国际化营商环境、科技创新环境制度等</w:t>
      </w:r>
      <w:r>
        <w:rPr>
          <w:rFonts w:hint="eastAsia" w:ascii="Times New Roman" w:hAnsi="仿宋_GB2312" w:eastAsia="仿宋_GB2312" w:cs="Times New Roman"/>
          <w:sz w:val="32"/>
          <w:szCs w:val="32"/>
        </w:rPr>
        <w:t>重点</w:t>
      </w:r>
      <w:r>
        <w:rPr>
          <w:rFonts w:ascii="Times New Roman" w:hAnsi="仿宋_GB2312" w:eastAsia="仿宋_GB2312" w:cs="Times New Roman"/>
          <w:sz w:val="32"/>
          <w:szCs w:val="32"/>
        </w:rPr>
        <w:t>领域</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谋划我区可借鉴的具体举措。</w:t>
      </w:r>
      <w:r>
        <w:rPr>
          <w:rFonts w:hint="eastAsia" w:ascii="Times New Roman" w:hAnsi="仿宋_GB2312" w:eastAsia="仿宋_GB2312" w:cs="Times New Roman"/>
          <w:sz w:val="32"/>
          <w:szCs w:val="32"/>
        </w:rPr>
        <w:t>积极</w:t>
      </w:r>
      <w:r>
        <w:rPr>
          <w:rFonts w:ascii="Times New Roman" w:hAnsi="仿宋_GB2312" w:eastAsia="仿宋_GB2312" w:cs="Times New Roman"/>
          <w:sz w:val="32"/>
          <w:szCs w:val="32"/>
        </w:rPr>
        <w:t>对接国家、省和市重大改革事项，抓紧谋划一批重大改革举措，释放发展活力。</w:t>
      </w:r>
    </w:p>
    <w:p>
      <w:pPr>
        <w:numPr>
          <w:ilvl w:val="255"/>
          <w:numId w:val="0"/>
        </w:num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sz w:val="32"/>
          <w:szCs w:val="32"/>
        </w:rPr>
        <w:t>深化土地要素市场化配置。</w:t>
      </w:r>
      <w:r>
        <w:rPr>
          <w:rFonts w:hint="eastAsia" w:ascii="Times New Roman" w:hAnsi="仿宋_GB2312" w:eastAsia="仿宋_GB2312" w:cs="Times New Roman"/>
          <w:sz w:val="32"/>
          <w:szCs w:val="32"/>
        </w:rPr>
        <w:t>深化</w:t>
      </w:r>
      <w:r>
        <w:rPr>
          <w:rFonts w:ascii="Times New Roman" w:hAnsi="仿宋_GB2312" w:eastAsia="仿宋_GB2312" w:cs="Times New Roman"/>
          <w:sz w:val="32"/>
          <w:szCs w:val="32"/>
        </w:rPr>
        <w:t>土地管理</w:t>
      </w:r>
      <w:r>
        <w:rPr>
          <w:rFonts w:hint="eastAsia" w:ascii="Times New Roman" w:hAnsi="仿宋_GB2312" w:eastAsia="仿宋_GB2312" w:cs="Times New Roman"/>
          <w:sz w:val="32"/>
          <w:szCs w:val="32"/>
        </w:rPr>
        <w:t>制度改革</w:t>
      </w:r>
      <w:r>
        <w:rPr>
          <w:rFonts w:ascii="Times New Roman" w:hAnsi="仿宋_GB2312" w:eastAsia="仿宋_GB2312" w:cs="Times New Roman"/>
          <w:sz w:val="32"/>
          <w:szCs w:val="32"/>
        </w:rPr>
        <w:t>，创新规划调整、土地供应、收益分配等机制，鼓励盘活存量用地。</w:t>
      </w:r>
      <w:r>
        <w:rPr>
          <w:rFonts w:hint="eastAsia" w:ascii="Times New Roman" w:hAnsi="仿宋_GB2312" w:eastAsia="仿宋_GB2312" w:cs="Times New Roman"/>
          <w:sz w:val="32"/>
          <w:szCs w:val="32"/>
          <w:lang w:eastAsia="zh-CN"/>
        </w:rPr>
        <w:t>推进产业用地市场化配置改革，探索实行“标准地”土地供应。</w:t>
      </w:r>
      <w:r>
        <w:rPr>
          <w:rFonts w:ascii="Times New Roman" w:hAnsi="仿宋_GB2312" w:eastAsia="仿宋_GB2312" w:cs="Times New Roman"/>
          <w:sz w:val="32"/>
          <w:szCs w:val="32"/>
        </w:rPr>
        <w:t>树立</w:t>
      </w:r>
      <w:r>
        <w:rPr>
          <w:rFonts w:ascii="Times New Roman" w:hAnsi="Times New Roman" w:eastAsia="仿宋_GB2312" w:cs="Times New Roman"/>
          <w:sz w:val="32"/>
          <w:szCs w:val="32"/>
        </w:rPr>
        <w:t>“</w:t>
      </w:r>
      <w:r>
        <w:rPr>
          <w:rFonts w:ascii="Times New Roman" w:hAnsi="仿宋_GB2312" w:eastAsia="仿宋_GB2312" w:cs="Times New Roman"/>
          <w:sz w:val="32"/>
          <w:szCs w:val="32"/>
        </w:rPr>
        <w:t>亩产论英雄</w:t>
      </w:r>
      <w:r>
        <w:rPr>
          <w:rFonts w:ascii="Times New Roman" w:hAnsi="Times New Roman" w:eastAsia="仿宋_GB2312" w:cs="Times New Roman"/>
          <w:sz w:val="32"/>
          <w:szCs w:val="32"/>
        </w:rPr>
        <w:t>”</w:t>
      </w:r>
      <w:r>
        <w:rPr>
          <w:rFonts w:ascii="Times New Roman" w:hAnsi="仿宋_GB2312" w:eastAsia="仿宋_GB2312" w:cs="Times New Roman"/>
          <w:sz w:val="32"/>
          <w:szCs w:val="32"/>
        </w:rPr>
        <w:t>鲜明导向，加快完善</w:t>
      </w:r>
      <w:r>
        <w:rPr>
          <w:rFonts w:ascii="Times New Roman" w:hAnsi="Times New Roman" w:eastAsia="仿宋_GB2312" w:cs="Times New Roman"/>
          <w:sz w:val="32"/>
          <w:szCs w:val="32"/>
        </w:rPr>
        <w:t>“</w:t>
      </w:r>
      <w:r>
        <w:rPr>
          <w:rFonts w:ascii="Times New Roman" w:hAnsi="仿宋_GB2312" w:eastAsia="仿宋_GB2312" w:cs="Times New Roman"/>
          <w:sz w:val="32"/>
          <w:szCs w:val="32"/>
        </w:rPr>
        <w:t>效益十条</w:t>
      </w:r>
      <w:r>
        <w:rPr>
          <w:rFonts w:ascii="Times New Roman" w:hAnsi="Times New Roman" w:eastAsia="仿宋_GB2312" w:cs="Times New Roman"/>
          <w:sz w:val="32"/>
          <w:szCs w:val="32"/>
        </w:rPr>
        <w:t>”</w:t>
      </w:r>
      <w:r>
        <w:rPr>
          <w:rFonts w:ascii="Times New Roman" w:hAnsi="仿宋_GB2312" w:eastAsia="仿宋_GB2312" w:cs="Times New Roman"/>
          <w:sz w:val="32"/>
          <w:szCs w:val="32"/>
        </w:rPr>
        <w:t>数据平台，完善用地、用能、环境等要素分配与亩产效益挂钩的激励约束机制，推动要素资源向高效益、高产出、高技术、高成长性企业集聚。</w:t>
      </w:r>
      <w:r>
        <w:rPr>
          <w:rFonts w:ascii="Times New Roman" w:hAnsi="仿宋_GB2312" w:eastAsia="仿宋_GB2312" w:cs="Times New Roman"/>
          <w:bCs/>
          <w:sz w:val="32"/>
          <w:szCs w:val="32"/>
        </w:rPr>
        <w:t>强</w:t>
      </w:r>
      <w:r>
        <w:rPr>
          <w:rFonts w:ascii="Times New Roman" w:hAnsi="仿宋_GB2312" w:eastAsia="仿宋_GB2312" w:cs="Times New Roman"/>
          <w:sz w:val="32"/>
          <w:szCs w:val="32"/>
        </w:rPr>
        <w:t>化工业用地保护线，加速村级工业园升级改造，提高土地集约节约利用效率，</w:t>
      </w:r>
      <w:r>
        <w:rPr>
          <w:rFonts w:ascii="Times New Roman" w:hAnsi="Times New Roman" w:eastAsia="仿宋_GB2312" w:cs="Times New Roman"/>
          <w:sz w:val="32"/>
          <w:szCs w:val="32"/>
        </w:rPr>
        <w:t>“</w:t>
      </w:r>
      <w:r>
        <w:rPr>
          <w:rFonts w:ascii="Times New Roman" w:hAnsi="仿宋_GB2312" w:eastAsia="仿宋_GB2312" w:cs="Times New Roman"/>
          <w:sz w:val="32"/>
          <w:szCs w:val="32"/>
        </w:rPr>
        <w:t>拆建并举</w:t>
      </w:r>
      <w:r>
        <w:rPr>
          <w:rFonts w:ascii="Times New Roman" w:hAnsi="Times New Roman" w:eastAsia="仿宋_GB2312" w:cs="Times New Roman"/>
          <w:sz w:val="32"/>
          <w:szCs w:val="32"/>
        </w:rPr>
        <w:t>”</w:t>
      </w:r>
      <w:r>
        <w:rPr>
          <w:rFonts w:ascii="Times New Roman" w:hAnsi="仿宋_GB2312" w:eastAsia="仿宋_GB2312" w:cs="Times New Roman"/>
          <w:sz w:val="32"/>
          <w:szCs w:val="32"/>
        </w:rPr>
        <w:t>淘汰落后产能，打造</w:t>
      </w:r>
      <w:r>
        <w:rPr>
          <w:rFonts w:ascii="Times New Roman" w:hAnsi="Times New Roman" w:eastAsia="仿宋_GB2312" w:cs="Times New Roman"/>
          <w:sz w:val="32"/>
          <w:szCs w:val="32"/>
        </w:rPr>
        <w:t>“</w:t>
      </w:r>
      <w:r>
        <w:rPr>
          <w:rFonts w:ascii="Times New Roman" w:hAnsi="仿宋_GB2312" w:eastAsia="仿宋_GB2312" w:cs="Times New Roman"/>
          <w:sz w:val="32"/>
          <w:szCs w:val="32"/>
        </w:rPr>
        <w:t>工业上楼</w:t>
      </w:r>
      <w:r>
        <w:rPr>
          <w:rFonts w:ascii="Times New Roman" w:hAnsi="Times New Roman" w:eastAsia="仿宋_GB2312" w:cs="Times New Roman"/>
          <w:sz w:val="32"/>
          <w:szCs w:val="32"/>
        </w:rPr>
        <w:t>”</w:t>
      </w:r>
      <w:r>
        <w:rPr>
          <w:rFonts w:ascii="Times New Roman" w:hAnsi="仿宋_GB2312" w:eastAsia="仿宋_GB2312" w:cs="Times New Roman"/>
          <w:sz w:val="32"/>
          <w:szCs w:val="32"/>
        </w:rPr>
        <w:t>样板。</w:t>
      </w:r>
    </w:p>
    <w:p>
      <w:pPr>
        <w:pStyle w:val="3"/>
        <w:numPr>
          <w:ilvl w:val="0"/>
          <w:numId w:val="1"/>
        </w:numPr>
        <w:spacing w:line="560" w:lineRule="exact"/>
        <w:jc w:val="center"/>
        <w:rPr>
          <w:rFonts w:ascii="Times New Roman" w:hAnsi="Times New Roman" w:eastAsia="楷体_GB2312"/>
          <w:b w:val="0"/>
        </w:rPr>
      </w:pPr>
      <w:bookmarkStart w:id="170" w:name="_Toc60906361"/>
      <w:bookmarkEnd w:id="170"/>
      <w:bookmarkStart w:id="171" w:name="_Toc61946343"/>
      <w:r>
        <w:rPr>
          <w:rFonts w:ascii="Times New Roman" w:hAnsi="Times New Roman" w:eastAsia="楷体_GB2312"/>
          <w:b w:val="0"/>
        </w:rPr>
        <w:t>全面激发市场主体活力</w:t>
      </w:r>
      <w:bookmarkEnd w:id="171"/>
    </w:p>
    <w:p>
      <w:pPr>
        <w:numPr>
          <w:ilvl w:val="255"/>
          <w:numId w:val="0"/>
        </w:num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深化国资国企改革。</w:t>
      </w:r>
      <w:r>
        <w:rPr>
          <w:rFonts w:hint="eastAsia" w:ascii="Times New Roman" w:hAnsi="仿宋_GB2312" w:eastAsia="仿宋_GB2312" w:cs="Times New Roman"/>
          <w:b w:val="0"/>
          <w:bCs/>
          <w:sz w:val="32"/>
          <w:szCs w:val="32"/>
          <w:lang w:eastAsia="zh-CN"/>
        </w:rPr>
        <w:t>建立以管资本为主的国有资本授权经营体制，优化现代企业制度和企业法人治理结构，增强国有企业发展活力和竞争力。</w:t>
      </w:r>
      <w:r>
        <w:rPr>
          <w:rFonts w:ascii="Times New Roman" w:hAnsi="仿宋_GB2312" w:eastAsia="仿宋_GB2312" w:cs="Times New Roman"/>
          <w:sz w:val="32"/>
          <w:szCs w:val="32"/>
        </w:rPr>
        <w:t>推进国有资本布局优化、结构调整、战略性重组，有序推进国有企业混合所有制改革，做大做优做强国有企业。引导国资国企积极参与重大项目建设、园区管理运营、环境治理等，切实提高企业盈利能力。深化预算管理制度改革，推进财政支出</w:t>
      </w:r>
      <w:r>
        <w:rPr>
          <w:rFonts w:hint="eastAsia" w:ascii="Times New Roman" w:hAnsi="仿宋_GB2312" w:eastAsia="仿宋_GB2312" w:cs="Times New Roman"/>
          <w:sz w:val="32"/>
          <w:szCs w:val="32"/>
          <w:lang w:val="zh-CN"/>
        </w:rPr>
        <w:t>精细化</w:t>
      </w:r>
      <w:r>
        <w:rPr>
          <w:rFonts w:ascii="Times New Roman" w:hAnsi="仿宋_GB2312" w:eastAsia="仿宋_GB2312" w:cs="Times New Roman"/>
          <w:sz w:val="32"/>
          <w:szCs w:val="32"/>
        </w:rPr>
        <w:t>，强化预算约束和绩效管理。建立多元化投融资机制，打造涉及创业创新、城市建设等领域的投融资平台，鼓励社会资本投入，强化政府和社会资本合作。落实市</w:t>
      </w:r>
      <w:r>
        <w:rPr>
          <w:rFonts w:ascii="Times New Roman" w:hAnsi="Times New Roman" w:eastAsia="仿宋_GB2312" w:cs="Times New Roman"/>
          <w:sz w:val="32"/>
          <w:szCs w:val="32"/>
        </w:rPr>
        <w:t>“</w:t>
      </w:r>
      <w:r>
        <w:rPr>
          <w:rFonts w:ascii="Times New Roman" w:hAnsi="仿宋_GB2312" w:eastAsia="仿宋_GB2312" w:cs="Times New Roman"/>
          <w:sz w:val="32"/>
          <w:szCs w:val="32"/>
        </w:rPr>
        <w:t>金种子</w:t>
      </w:r>
      <w:r>
        <w:rPr>
          <w:rFonts w:ascii="Times New Roman" w:hAnsi="Times New Roman" w:eastAsia="仿宋_GB2312" w:cs="Times New Roman"/>
          <w:sz w:val="32"/>
          <w:szCs w:val="32"/>
        </w:rPr>
        <w:t>”</w:t>
      </w:r>
      <w:r>
        <w:rPr>
          <w:rFonts w:ascii="Times New Roman" w:hAnsi="仿宋_GB2312" w:eastAsia="仿宋_GB2312" w:cs="Times New Roman"/>
          <w:sz w:val="32"/>
          <w:szCs w:val="32"/>
        </w:rPr>
        <w:t>三年行动方案，引导一批企业上市挂牌。</w:t>
      </w:r>
    </w:p>
    <w:p>
      <w:pPr>
        <w:numPr>
          <w:ilvl w:val="255"/>
          <w:numId w:val="0"/>
        </w:num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全力支持民营经济发展。</w:t>
      </w:r>
      <w:r>
        <w:rPr>
          <w:rFonts w:ascii="Times New Roman" w:hAnsi="仿宋_GB2312" w:eastAsia="仿宋_GB2312" w:cs="Times New Roman"/>
          <w:sz w:val="32"/>
          <w:szCs w:val="32"/>
        </w:rPr>
        <w:t>进一步放宽市场准入，对民营和国有经济一视同仁，对大中小企业平等对待。鼓励引导民营资本参与市政基础设施、社会事业领域等重大项目建设，不以任何形式增设民营企业准入条件。降低民营企业生产经营成本，切实落实减税降费措施。积极开展</w:t>
      </w:r>
      <w:r>
        <w:rPr>
          <w:rFonts w:ascii="Times New Roman" w:hAnsi="Times New Roman" w:eastAsia="仿宋_GB2312" w:cs="Times New Roman"/>
          <w:sz w:val="32"/>
          <w:szCs w:val="32"/>
        </w:rPr>
        <w:t>“</w:t>
      </w:r>
      <w:r>
        <w:rPr>
          <w:rFonts w:ascii="Times New Roman" w:hAnsi="仿宋_GB2312" w:eastAsia="仿宋_GB2312" w:cs="Times New Roman"/>
          <w:sz w:val="32"/>
          <w:szCs w:val="32"/>
        </w:rPr>
        <w:t>暖企业、促投资</w:t>
      </w:r>
      <w:r>
        <w:rPr>
          <w:rFonts w:ascii="Times New Roman" w:hAnsi="Times New Roman" w:eastAsia="仿宋_GB2312" w:cs="Times New Roman"/>
          <w:sz w:val="32"/>
          <w:szCs w:val="32"/>
        </w:rPr>
        <w:t>”</w:t>
      </w:r>
      <w:r>
        <w:rPr>
          <w:rFonts w:ascii="Times New Roman" w:hAnsi="仿宋_GB2312" w:eastAsia="仿宋_GB2312" w:cs="Times New Roman"/>
          <w:sz w:val="32"/>
          <w:szCs w:val="32"/>
        </w:rPr>
        <w:t>行动，构建</w:t>
      </w:r>
      <w:r>
        <w:rPr>
          <w:rFonts w:ascii="Times New Roman" w:hAnsi="Times New Roman" w:eastAsia="仿宋_GB2312" w:cs="Times New Roman"/>
          <w:sz w:val="32"/>
          <w:szCs w:val="32"/>
        </w:rPr>
        <w:t>“</w:t>
      </w:r>
      <w:r>
        <w:rPr>
          <w:rFonts w:ascii="Times New Roman" w:hAnsi="仿宋_GB2312" w:eastAsia="仿宋_GB2312" w:cs="Times New Roman"/>
          <w:sz w:val="32"/>
          <w:szCs w:val="32"/>
        </w:rPr>
        <w:t>亲</w:t>
      </w:r>
      <w:r>
        <w:rPr>
          <w:rFonts w:ascii="Times New Roman" w:hAnsi="Times New Roman" w:eastAsia="仿宋_GB2312" w:cs="Times New Roman"/>
          <w:sz w:val="32"/>
          <w:szCs w:val="32"/>
        </w:rPr>
        <w:t>”“</w:t>
      </w:r>
      <w:r>
        <w:rPr>
          <w:rFonts w:ascii="Times New Roman" w:hAnsi="仿宋_GB2312" w:eastAsia="仿宋_GB2312" w:cs="Times New Roman"/>
          <w:sz w:val="32"/>
          <w:szCs w:val="32"/>
        </w:rPr>
        <w:t>清</w:t>
      </w:r>
      <w:r>
        <w:rPr>
          <w:rFonts w:ascii="Times New Roman" w:hAnsi="Times New Roman" w:eastAsia="仿宋_GB2312" w:cs="Times New Roman"/>
          <w:sz w:val="32"/>
          <w:szCs w:val="32"/>
        </w:rPr>
        <w:t>”</w:t>
      </w:r>
      <w:r>
        <w:rPr>
          <w:rFonts w:ascii="Times New Roman" w:hAnsi="仿宋_GB2312" w:eastAsia="仿宋_GB2312" w:cs="Times New Roman"/>
          <w:sz w:val="32"/>
          <w:szCs w:val="32"/>
        </w:rPr>
        <w:t>新型政商关系。支持中小微企业和个体工商户发展。依法保护企业和企业家合法权益。大力弘扬企业家精神、劳模精神和工匠精神。</w:t>
      </w:r>
    </w:p>
    <w:p>
      <w:pPr>
        <w:pStyle w:val="3"/>
        <w:numPr>
          <w:ilvl w:val="0"/>
          <w:numId w:val="1"/>
        </w:numPr>
        <w:spacing w:line="560" w:lineRule="exact"/>
        <w:jc w:val="center"/>
        <w:rPr>
          <w:rFonts w:ascii="Times New Roman" w:hAnsi="Times New Roman" w:eastAsia="楷体_GB2312"/>
          <w:b w:val="0"/>
        </w:rPr>
      </w:pPr>
      <w:bookmarkStart w:id="172" w:name="_Toc60906364"/>
      <w:bookmarkEnd w:id="172"/>
      <w:bookmarkStart w:id="173" w:name="_Toc60906363"/>
      <w:bookmarkEnd w:id="173"/>
      <w:bookmarkStart w:id="174" w:name="_Toc60906365"/>
      <w:bookmarkEnd w:id="174"/>
      <w:bookmarkStart w:id="175" w:name="_Toc61946344"/>
      <w:bookmarkStart w:id="176" w:name="_Toc15678"/>
      <w:bookmarkStart w:id="177" w:name="_Toc15278"/>
      <w:bookmarkStart w:id="178" w:name="_Toc30291"/>
      <w:r>
        <w:rPr>
          <w:rFonts w:ascii="Times New Roman" w:hAnsi="Times New Roman" w:eastAsia="楷体_GB2312"/>
          <w:b w:val="0"/>
        </w:rPr>
        <w:t>大力优化营商环境</w:t>
      </w:r>
      <w:bookmarkEnd w:id="175"/>
      <w:bookmarkEnd w:id="176"/>
      <w:bookmarkEnd w:id="177"/>
      <w:bookmarkEnd w:id="178"/>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持续深化</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放管服</w:t>
      </w:r>
      <w:r>
        <w:rPr>
          <w:rFonts w:ascii="Times New Roman" w:hAnsi="Times New Roman" w:eastAsia="仿宋_GB2312" w:cs="Times New Roman"/>
          <w:b/>
          <w:sz w:val="32"/>
          <w:szCs w:val="32"/>
        </w:rPr>
        <w:t>”</w:t>
      </w:r>
      <w:r>
        <w:rPr>
          <w:rFonts w:ascii="Times New Roman" w:hAnsi="仿宋_GB2312" w:eastAsia="仿宋_GB2312" w:cs="Times New Roman"/>
          <w:b/>
          <w:sz w:val="32"/>
          <w:szCs w:val="32"/>
        </w:rPr>
        <w:t>改革。</w:t>
      </w:r>
      <w:r>
        <w:rPr>
          <w:rFonts w:ascii="Times New Roman" w:hAnsi="仿宋_GB2312" w:eastAsia="仿宋_GB2312" w:cs="Times New Roman"/>
          <w:sz w:val="32"/>
          <w:szCs w:val="32"/>
        </w:rPr>
        <w:t>进一步简化、优化各项办事和审批流程，提升政务服务效率，推动</w:t>
      </w:r>
      <w:r>
        <w:rPr>
          <w:rFonts w:ascii="Times New Roman" w:hAnsi="Times New Roman" w:eastAsia="仿宋_GB2312" w:cs="Times New Roman"/>
          <w:sz w:val="32"/>
          <w:szCs w:val="32"/>
        </w:rPr>
        <w:t>“</w:t>
      </w:r>
      <w:r>
        <w:rPr>
          <w:rFonts w:ascii="Times New Roman" w:hAnsi="仿宋_GB2312" w:eastAsia="仿宋_GB2312" w:cs="Times New Roman"/>
          <w:sz w:val="32"/>
          <w:szCs w:val="32"/>
        </w:rPr>
        <w:t>休息日预约</w:t>
      </w:r>
      <w:r>
        <w:rPr>
          <w:rFonts w:ascii="Times New Roman" w:hAnsi="Times New Roman" w:eastAsia="仿宋_GB2312" w:cs="Times New Roman"/>
          <w:sz w:val="32"/>
          <w:szCs w:val="32"/>
        </w:rPr>
        <w:t>”“</w:t>
      </w:r>
      <w:r>
        <w:rPr>
          <w:rFonts w:ascii="Times New Roman" w:hAnsi="仿宋_GB2312" w:eastAsia="仿宋_GB2312" w:cs="Times New Roman"/>
          <w:sz w:val="32"/>
          <w:szCs w:val="32"/>
        </w:rPr>
        <w:t>中午不打烊</w:t>
      </w:r>
      <w:r>
        <w:rPr>
          <w:rFonts w:ascii="Times New Roman" w:hAnsi="Times New Roman" w:eastAsia="仿宋_GB2312" w:cs="Times New Roman"/>
          <w:sz w:val="32"/>
          <w:szCs w:val="32"/>
        </w:rPr>
        <w:t>”</w:t>
      </w:r>
      <w:r>
        <w:rPr>
          <w:rFonts w:ascii="Times New Roman" w:hAnsi="仿宋_GB2312" w:eastAsia="仿宋_GB2312" w:cs="Times New Roman"/>
          <w:sz w:val="32"/>
          <w:szCs w:val="32"/>
        </w:rPr>
        <w:t>便民服务向基层延伸。打造</w:t>
      </w:r>
      <w:r>
        <w:rPr>
          <w:rFonts w:ascii="Times New Roman" w:hAnsi="Times New Roman" w:eastAsia="仿宋_GB2312" w:cs="Times New Roman"/>
          <w:sz w:val="32"/>
          <w:szCs w:val="32"/>
        </w:rPr>
        <w:t>“</w:t>
      </w:r>
      <w:r>
        <w:rPr>
          <w:rFonts w:ascii="Times New Roman" w:hAnsi="仿宋_GB2312" w:eastAsia="仿宋_GB2312" w:cs="Times New Roman"/>
          <w:sz w:val="32"/>
          <w:szCs w:val="32"/>
        </w:rPr>
        <w:t>数字政府</w:t>
      </w:r>
      <w:r>
        <w:rPr>
          <w:rFonts w:ascii="Times New Roman" w:hAnsi="Times New Roman" w:eastAsia="仿宋_GB2312" w:cs="Times New Roman"/>
          <w:sz w:val="32"/>
          <w:szCs w:val="32"/>
        </w:rPr>
        <w:t>”</w:t>
      </w:r>
      <w:r>
        <w:rPr>
          <w:rFonts w:ascii="Times New Roman" w:hAnsi="仿宋_GB2312" w:eastAsia="仿宋_GB2312" w:cs="Times New Roman"/>
          <w:sz w:val="32"/>
          <w:szCs w:val="32"/>
        </w:rPr>
        <w:t>统一政务云平台，以</w:t>
      </w:r>
      <w:r>
        <w:rPr>
          <w:rFonts w:ascii="Times New Roman" w:hAnsi="Times New Roman" w:eastAsia="仿宋_GB2312" w:cs="Times New Roman"/>
          <w:sz w:val="32"/>
          <w:szCs w:val="32"/>
        </w:rPr>
        <w:t>“</w:t>
      </w:r>
      <w:r>
        <w:rPr>
          <w:rFonts w:ascii="Times New Roman" w:hAnsi="仿宋_GB2312" w:eastAsia="仿宋_GB2312" w:cs="Times New Roman"/>
          <w:sz w:val="32"/>
          <w:szCs w:val="32"/>
        </w:rPr>
        <w:t>大平台、分中心</w:t>
      </w:r>
      <w:r>
        <w:rPr>
          <w:rFonts w:ascii="Times New Roman" w:hAnsi="Times New Roman" w:eastAsia="仿宋_GB2312" w:cs="Times New Roman"/>
          <w:sz w:val="32"/>
          <w:szCs w:val="32"/>
        </w:rPr>
        <w:t>”</w:t>
      </w:r>
      <w:r>
        <w:rPr>
          <w:rFonts w:ascii="Times New Roman" w:hAnsi="仿宋_GB2312" w:eastAsia="仿宋_GB2312" w:cs="Times New Roman"/>
          <w:sz w:val="32"/>
          <w:szCs w:val="32"/>
        </w:rPr>
        <w:t>架构，形成自上而下、整体协同的日常办公、政务服务、社会治理和公共服务环境，打通政务便民的</w:t>
      </w:r>
      <w:r>
        <w:rPr>
          <w:rFonts w:ascii="Times New Roman" w:hAnsi="Times New Roman" w:eastAsia="仿宋_GB2312" w:cs="Times New Roman"/>
          <w:sz w:val="32"/>
          <w:szCs w:val="32"/>
        </w:rPr>
        <w:t>“</w:t>
      </w:r>
      <w:r>
        <w:rPr>
          <w:rFonts w:ascii="Times New Roman" w:hAnsi="仿宋_GB2312" w:eastAsia="仿宋_GB2312" w:cs="Times New Roman"/>
          <w:sz w:val="32"/>
          <w:szCs w:val="32"/>
        </w:rPr>
        <w:t>最后一公里</w:t>
      </w:r>
      <w:r>
        <w:rPr>
          <w:rFonts w:ascii="Times New Roman" w:hAnsi="Times New Roman" w:eastAsia="仿宋_GB2312" w:cs="Times New Roman"/>
          <w:sz w:val="32"/>
          <w:szCs w:val="32"/>
        </w:rPr>
        <w:t>”</w:t>
      </w:r>
      <w:r>
        <w:rPr>
          <w:rFonts w:ascii="Times New Roman" w:hAnsi="仿宋_GB2312" w:eastAsia="仿宋_GB2312" w:cs="Times New Roman"/>
          <w:sz w:val="32"/>
          <w:szCs w:val="32"/>
        </w:rPr>
        <w:t>。深化</w:t>
      </w:r>
      <w:r>
        <w:rPr>
          <w:rFonts w:ascii="Times New Roman" w:hAnsi="Times New Roman" w:eastAsia="仿宋_GB2312" w:cs="Times New Roman"/>
          <w:sz w:val="32"/>
          <w:szCs w:val="32"/>
        </w:rPr>
        <w:t>“</w:t>
      </w:r>
      <w:r>
        <w:rPr>
          <w:rFonts w:ascii="Times New Roman" w:hAnsi="仿宋_GB2312" w:eastAsia="仿宋_GB2312" w:cs="Times New Roman"/>
          <w:sz w:val="32"/>
          <w:szCs w:val="32"/>
        </w:rPr>
        <w:t>最多跑一次</w:t>
      </w:r>
      <w:r>
        <w:rPr>
          <w:rFonts w:ascii="Times New Roman" w:hAnsi="Times New Roman" w:eastAsia="仿宋_GB2312" w:cs="Times New Roman"/>
          <w:sz w:val="32"/>
          <w:szCs w:val="32"/>
        </w:rPr>
        <w:t>”</w:t>
      </w:r>
      <w:r>
        <w:rPr>
          <w:rFonts w:ascii="Times New Roman" w:hAnsi="仿宋_GB2312" w:eastAsia="仿宋_GB2312" w:cs="Times New Roman"/>
          <w:sz w:val="32"/>
          <w:szCs w:val="32"/>
        </w:rPr>
        <w:t>改革，进一步推进清单制、委托制、承诺制改革。建好用好投资项目</w:t>
      </w:r>
      <w:r>
        <w:rPr>
          <w:rFonts w:ascii="Times New Roman" w:hAnsi="Times New Roman" w:eastAsia="仿宋_GB2312" w:cs="Times New Roman"/>
          <w:sz w:val="32"/>
          <w:szCs w:val="32"/>
        </w:rPr>
        <w:t>“</w:t>
      </w:r>
      <w:r>
        <w:rPr>
          <w:rFonts w:ascii="Times New Roman" w:hAnsi="仿宋_GB2312" w:eastAsia="仿宋_GB2312" w:cs="Times New Roman"/>
          <w:sz w:val="32"/>
          <w:szCs w:val="32"/>
        </w:rPr>
        <w:t>模拟审批</w:t>
      </w:r>
      <w:r>
        <w:rPr>
          <w:rFonts w:ascii="Times New Roman" w:hAnsi="Times New Roman" w:eastAsia="仿宋_GB2312" w:cs="Times New Roman"/>
          <w:sz w:val="32"/>
          <w:szCs w:val="32"/>
        </w:rPr>
        <w:t>”</w:t>
      </w:r>
      <w:r>
        <w:rPr>
          <w:rFonts w:ascii="Times New Roman" w:hAnsi="仿宋_GB2312" w:eastAsia="仿宋_GB2312" w:cs="Times New Roman"/>
          <w:sz w:val="32"/>
          <w:szCs w:val="32"/>
        </w:rPr>
        <w:t>监管平台，力争</w:t>
      </w:r>
      <w:r>
        <w:rPr>
          <w:rFonts w:ascii="Times New Roman" w:hAnsi="Times New Roman" w:eastAsia="仿宋_GB2312" w:cs="Times New Roman"/>
          <w:sz w:val="32"/>
          <w:szCs w:val="32"/>
        </w:rPr>
        <w:t>“</w:t>
      </w:r>
      <w:r>
        <w:rPr>
          <w:rFonts w:ascii="Times New Roman" w:hAnsi="仿宋_GB2312" w:eastAsia="仿宋_GB2312" w:cs="Times New Roman"/>
          <w:sz w:val="32"/>
          <w:szCs w:val="32"/>
        </w:rPr>
        <w:t>交地即开工</w:t>
      </w:r>
      <w:r>
        <w:rPr>
          <w:rFonts w:ascii="Times New Roman" w:hAnsi="Times New Roman" w:eastAsia="仿宋_GB2312" w:cs="Times New Roman"/>
          <w:sz w:val="32"/>
          <w:szCs w:val="32"/>
        </w:rPr>
        <w:t>”</w:t>
      </w:r>
      <w:r>
        <w:rPr>
          <w:rFonts w:ascii="Times New Roman" w:hAnsi="仿宋_GB2312" w:eastAsia="仿宋_GB2312" w:cs="Times New Roman"/>
          <w:sz w:val="32"/>
          <w:szCs w:val="32"/>
        </w:rPr>
        <w:t>常态化。用足用好</w:t>
      </w:r>
      <w:r>
        <w:rPr>
          <w:rFonts w:ascii="Times New Roman" w:hAnsi="Times New Roman" w:eastAsia="仿宋_GB2312" w:cs="Times New Roman"/>
          <w:sz w:val="32"/>
          <w:szCs w:val="32"/>
        </w:rPr>
        <w:t>“</w:t>
      </w:r>
      <w:r>
        <w:rPr>
          <w:rFonts w:ascii="Times New Roman" w:hAnsi="仿宋_GB2312" w:eastAsia="仿宋_GB2312" w:cs="Times New Roman"/>
          <w:sz w:val="32"/>
          <w:szCs w:val="32"/>
        </w:rPr>
        <w:t>政令十条</w:t>
      </w:r>
      <w:r>
        <w:rPr>
          <w:rFonts w:ascii="Times New Roman" w:hAnsi="Times New Roman" w:eastAsia="仿宋_GB2312" w:cs="Times New Roman"/>
          <w:sz w:val="32"/>
          <w:szCs w:val="32"/>
        </w:rPr>
        <w:t>”</w:t>
      </w:r>
      <w:r>
        <w:rPr>
          <w:rFonts w:ascii="Times New Roman" w:hAnsi="仿宋_GB2312" w:eastAsia="仿宋_GB2312" w:cs="Times New Roman"/>
          <w:sz w:val="32"/>
          <w:szCs w:val="32"/>
        </w:rPr>
        <w:t>，完善</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一网通办</w:t>
      </w:r>
      <w:r>
        <w:rPr>
          <w:rFonts w:ascii="Times New Roman" w:hAnsi="Times New Roman" w:eastAsia="仿宋_GB2312" w:cs="Times New Roman"/>
          <w:sz w:val="32"/>
          <w:szCs w:val="32"/>
        </w:rPr>
        <w:t>”</w:t>
      </w:r>
      <w:r>
        <w:rPr>
          <w:rFonts w:ascii="Times New Roman" w:hAnsi="仿宋_GB2312" w:eastAsia="仿宋_GB2312" w:cs="Times New Roman"/>
          <w:sz w:val="32"/>
          <w:szCs w:val="32"/>
        </w:rPr>
        <w:t>政府服务模式，开展政务服务</w:t>
      </w:r>
      <w:r>
        <w:rPr>
          <w:rFonts w:ascii="Times New Roman" w:hAnsi="Times New Roman" w:eastAsia="仿宋_GB2312" w:cs="Times New Roman"/>
          <w:sz w:val="32"/>
          <w:szCs w:val="32"/>
        </w:rPr>
        <w:t>“</w:t>
      </w:r>
      <w:r>
        <w:rPr>
          <w:rFonts w:ascii="Times New Roman" w:hAnsi="仿宋_GB2312" w:eastAsia="仿宋_GB2312" w:cs="Times New Roman"/>
          <w:sz w:val="32"/>
          <w:szCs w:val="32"/>
        </w:rPr>
        <w:t>堵点清零</w:t>
      </w:r>
      <w:r>
        <w:rPr>
          <w:rFonts w:ascii="Times New Roman" w:hAnsi="Times New Roman" w:eastAsia="仿宋_GB2312" w:cs="Times New Roman"/>
          <w:sz w:val="32"/>
          <w:szCs w:val="32"/>
        </w:rPr>
        <w:t>”</w:t>
      </w:r>
      <w:r>
        <w:rPr>
          <w:rFonts w:ascii="Times New Roman" w:hAnsi="仿宋_GB2312" w:eastAsia="仿宋_GB2312" w:cs="Times New Roman"/>
          <w:sz w:val="32"/>
          <w:szCs w:val="32"/>
        </w:rPr>
        <w:t>行动，打造最优政策环境，全面激发市场主体活力。全力落实减税降费等惠企政策，确保企业应享尽享各项优惠，大力降低企业生产经营成本。持续优化</w:t>
      </w:r>
      <w:r>
        <w:rPr>
          <w:rFonts w:ascii="Times New Roman" w:hAnsi="Times New Roman" w:eastAsia="仿宋_GB2312" w:cs="Times New Roman"/>
          <w:sz w:val="32"/>
          <w:szCs w:val="32"/>
        </w:rPr>
        <w:t>“</w:t>
      </w:r>
      <w:r>
        <w:rPr>
          <w:rFonts w:ascii="Times New Roman" w:hAnsi="仿宋_GB2312" w:eastAsia="仿宋_GB2312" w:cs="Times New Roman"/>
          <w:sz w:val="32"/>
          <w:szCs w:val="32"/>
        </w:rPr>
        <w:t>黄金十条</w:t>
      </w:r>
      <w:r>
        <w:rPr>
          <w:rFonts w:ascii="Times New Roman" w:hAnsi="Times New Roman" w:eastAsia="仿宋_GB2312" w:cs="Times New Roman"/>
          <w:sz w:val="32"/>
          <w:szCs w:val="32"/>
        </w:rPr>
        <w:t>”</w:t>
      </w:r>
      <w:r>
        <w:rPr>
          <w:rFonts w:ascii="Times New Roman" w:hAnsi="仿宋_GB2312" w:eastAsia="仿宋_GB2312" w:cs="Times New Roman"/>
          <w:sz w:val="32"/>
          <w:szCs w:val="32"/>
        </w:rPr>
        <w:t>，不断扩大受益范围，提高奖励条款含金量。主动对接珠三角城市群审批服务一体化建设，配合推进</w:t>
      </w:r>
      <w:r>
        <w:rPr>
          <w:rFonts w:ascii="Times New Roman" w:hAnsi="Times New Roman" w:eastAsia="仿宋_GB2312" w:cs="Times New Roman"/>
          <w:sz w:val="32"/>
          <w:szCs w:val="32"/>
        </w:rPr>
        <w:t>“</w:t>
      </w:r>
      <w:r>
        <w:rPr>
          <w:rFonts w:ascii="Times New Roman" w:hAnsi="仿宋_GB2312" w:eastAsia="仿宋_GB2312" w:cs="Times New Roman"/>
          <w:sz w:val="32"/>
          <w:szCs w:val="32"/>
        </w:rPr>
        <w:t>便利湾区</w:t>
      </w:r>
      <w:r>
        <w:rPr>
          <w:rFonts w:ascii="Times New Roman" w:hAnsi="Times New Roman" w:eastAsia="仿宋_GB2312" w:cs="Times New Roman"/>
          <w:sz w:val="32"/>
          <w:szCs w:val="32"/>
        </w:rPr>
        <w:t>”</w:t>
      </w:r>
      <w:r>
        <w:rPr>
          <w:rFonts w:ascii="Times New Roman" w:hAnsi="仿宋_GB2312" w:eastAsia="仿宋_GB2312" w:cs="Times New Roman"/>
          <w:sz w:val="32"/>
          <w:szCs w:val="32"/>
        </w:rPr>
        <w:t>服务专区建设。扩展国际贸易</w:t>
      </w:r>
      <w:r>
        <w:rPr>
          <w:rFonts w:ascii="Times New Roman" w:hAnsi="Times New Roman" w:eastAsia="仿宋_GB2312" w:cs="Times New Roman"/>
          <w:sz w:val="32"/>
          <w:szCs w:val="32"/>
        </w:rPr>
        <w:t>“</w:t>
      </w:r>
      <w:r>
        <w:rPr>
          <w:rFonts w:ascii="Times New Roman" w:hAnsi="仿宋_GB2312" w:eastAsia="仿宋_GB2312" w:cs="Times New Roman"/>
          <w:sz w:val="32"/>
          <w:szCs w:val="32"/>
        </w:rPr>
        <w:t>单一窗口</w:t>
      </w:r>
      <w:r>
        <w:rPr>
          <w:rFonts w:ascii="Times New Roman" w:hAnsi="Times New Roman" w:eastAsia="仿宋_GB2312" w:cs="Times New Roman"/>
          <w:sz w:val="32"/>
          <w:szCs w:val="32"/>
        </w:rPr>
        <w:t>”</w:t>
      </w:r>
      <w:r>
        <w:rPr>
          <w:rFonts w:ascii="Times New Roman" w:hAnsi="仿宋_GB2312" w:eastAsia="仿宋_GB2312" w:cs="Times New Roman"/>
          <w:sz w:val="32"/>
          <w:szCs w:val="32"/>
        </w:rPr>
        <w:t>功能，提高对外资的吸引力。建立健全市场主体有序退出机制，全面实施注销业务</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一网通办</w:t>
      </w:r>
      <w:r>
        <w:rPr>
          <w:rFonts w:ascii="Times New Roman" w:hAnsi="Times New Roman" w:eastAsia="仿宋_GB2312" w:cs="Times New Roman"/>
          <w:sz w:val="32"/>
          <w:szCs w:val="32"/>
        </w:rPr>
        <w:t>”</w:t>
      </w:r>
      <w:r>
        <w:rPr>
          <w:rFonts w:ascii="Times New Roman" w:hAnsi="仿宋_GB2312" w:eastAsia="仿宋_GB2312" w:cs="Times New Roman"/>
          <w:sz w:val="32"/>
          <w:szCs w:val="32"/>
        </w:rPr>
        <w:t>，深化简易注销制度改革</w:t>
      </w:r>
      <w:r>
        <w:rPr>
          <w:rFonts w:hint="eastAsia" w:ascii="Times New Roman" w:hAnsi="仿宋_GB2312" w:eastAsia="仿宋_GB2312" w:cs="Times New Roman"/>
          <w:sz w:val="32"/>
          <w:szCs w:val="32"/>
        </w:rPr>
        <w:t>。</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营造公平竞争的市场环境。</w:t>
      </w:r>
      <w:r>
        <w:rPr>
          <w:rFonts w:ascii="Times New Roman" w:hAnsi="仿宋_GB2312" w:eastAsia="仿宋_GB2312" w:cs="Times New Roman"/>
          <w:sz w:val="32"/>
          <w:szCs w:val="32"/>
        </w:rPr>
        <w:t>积极参与国内统一大市场建设，建立健全现代产权制度。全面实施市场准入负面清单制度，推动</w:t>
      </w:r>
      <w:r>
        <w:rPr>
          <w:rFonts w:ascii="Times New Roman" w:hAnsi="Times New Roman" w:eastAsia="仿宋_GB2312" w:cs="Times New Roman"/>
          <w:sz w:val="32"/>
          <w:szCs w:val="32"/>
        </w:rPr>
        <w:t>“</w:t>
      </w:r>
      <w:r>
        <w:rPr>
          <w:rFonts w:ascii="Times New Roman" w:hAnsi="仿宋_GB2312" w:eastAsia="仿宋_GB2312" w:cs="Times New Roman"/>
          <w:sz w:val="32"/>
          <w:szCs w:val="32"/>
        </w:rPr>
        <w:t>非禁即入</w:t>
      </w:r>
      <w:r>
        <w:rPr>
          <w:rFonts w:ascii="Times New Roman" w:hAnsi="Times New Roman" w:eastAsia="仿宋_GB2312" w:cs="Times New Roman"/>
          <w:sz w:val="32"/>
          <w:szCs w:val="32"/>
        </w:rPr>
        <w:t>”</w:t>
      </w:r>
      <w:r>
        <w:rPr>
          <w:rFonts w:ascii="Times New Roman" w:hAnsi="仿宋_GB2312" w:eastAsia="仿宋_GB2312" w:cs="Times New Roman"/>
          <w:sz w:val="32"/>
          <w:szCs w:val="32"/>
        </w:rPr>
        <w:t>普遍落实。强化竞争政策基础地位，全面落实公平竞争审查机制，加强反垄断和反不正当竞争执法。以</w:t>
      </w:r>
      <w:r>
        <w:rPr>
          <w:rFonts w:ascii="Times New Roman" w:hAnsi="Times New Roman" w:eastAsia="仿宋_GB2312" w:cs="Times New Roman"/>
          <w:sz w:val="32"/>
          <w:szCs w:val="32"/>
        </w:rPr>
        <w:t>“</w:t>
      </w:r>
      <w:r>
        <w:rPr>
          <w:rFonts w:ascii="Times New Roman" w:hAnsi="仿宋_GB2312" w:eastAsia="仿宋_GB2312" w:cs="Times New Roman"/>
          <w:sz w:val="32"/>
          <w:szCs w:val="32"/>
        </w:rPr>
        <w:t>双随机、一公开</w:t>
      </w:r>
      <w:r>
        <w:rPr>
          <w:rFonts w:ascii="Times New Roman" w:hAnsi="Times New Roman" w:eastAsia="仿宋_GB2312" w:cs="Times New Roman"/>
          <w:sz w:val="32"/>
          <w:szCs w:val="32"/>
        </w:rPr>
        <w:t>”</w:t>
      </w:r>
      <w:r>
        <w:rPr>
          <w:rFonts w:ascii="Times New Roman" w:hAnsi="仿宋_GB2312" w:eastAsia="仿宋_GB2312" w:cs="Times New Roman"/>
          <w:sz w:val="32"/>
          <w:szCs w:val="32"/>
        </w:rPr>
        <w:t>为基本手段，规范涉企行政执法行为。深化行业协会、商会和中介机构改革。</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建设高效运行的社会信用体系。</w:t>
      </w:r>
      <w:r>
        <w:rPr>
          <w:rFonts w:ascii="Times New Roman" w:hAnsi="仿宋_GB2312" w:eastAsia="仿宋_GB2312" w:cs="Times New Roman"/>
          <w:sz w:val="32"/>
          <w:szCs w:val="32"/>
        </w:rPr>
        <w:t>打造</w:t>
      </w:r>
      <w:r>
        <w:rPr>
          <w:rFonts w:ascii="Times New Roman" w:hAnsi="Times New Roman" w:eastAsia="仿宋_GB2312" w:cs="Times New Roman"/>
          <w:sz w:val="32"/>
          <w:szCs w:val="32"/>
        </w:rPr>
        <w:t>“</w:t>
      </w:r>
      <w:r>
        <w:rPr>
          <w:rFonts w:ascii="Times New Roman" w:hAnsi="仿宋_GB2312" w:eastAsia="仿宋_GB2312" w:cs="Times New Roman"/>
          <w:sz w:val="32"/>
          <w:szCs w:val="32"/>
        </w:rPr>
        <w:t>信用新会</w:t>
      </w:r>
      <w:r>
        <w:rPr>
          <w:rFonts w:ascii="Times New Roman" w:hAnsi="Times New Roman" w:eastAsia="仿宋_GB2312" w:cs="Times New Roman"/>
          <w:sz w:val="32"/>
          <w:szCs w:val="32"/>
        </w:rPr>
        <w:t>”</w:t>
      </w:r>
      <w:r>
        <w:rPr>
          <w:rFonts w:ascii="Times New Roman" w:hAnsi="仿宋_GB2312" w:eastAsia="仿宋_GB2312" w:cs="Times New Roman"/>
          <w:sz w:val="32"/>
          <w:szCs w:val="32"/>
        </w:rPr>
        <w:t>城市名片。不断优化</w:t>
      </w:r>
      <w:r>
        <w:rPr>
          <w:rFonts w:ascii="Times New Roman" w:hAnsi="Times New Roman" w:eastAsia="仿宋_GB2312" w:cs="Times New Roman"/>
          <w:sz w:val="32"/>
          <w:szCs w:val="32"/>
        </w:rPr>
        <w:t>“</w:t>
      </w:r>
      <w:r>
        <w:rPr>
          <w:rFonts w:ascii="Times New Roman" w:hAnsi="仿宋_GB2312" w:eastAsia="仿宋_GB2312" w:cs="Times New Roman"/>
          <w:sz w:val="32"/>
          <w:szCs w:val="32"/>
        </w:rPr>
        <w:t>信用新会</w:t>
      </w:r>
      <w:r>
        <w:rPr>
          <w:rFonts w:ascii="Times New Roman" w:hAnsi="Times New Roman" w:eastAsia="仿宋_GB2312" w:cs="Times New Roman"/>
          <w:sz w:val="32"/>
          <w:szCs w:val="32"/>
        </w:rPr>
        <w:t>”</w:t>
      </w:r>
      <w:r>
        <w:rPr>
          <w:rFonts w:ascii="Times New Roman" w:hAnsi="仿宋_GB2312" w:eastAsia="仿宋_GB2312" w:cs="Times New Roman"/>
          <w:sz w:val="32"/>
          <w:szCs w:val="32"/>
        </w:rPr>
        <w:t>平台，推进信用信息共享，构建</w:t>
      </w:r>
      <w:r>
        <w:rPr>
          <w:rFonts w:ascii="Times New Roman" w:hAnsi="Times New Roman" w:eastAsia="仿宋_GB2312" w:cs="Times New Roman"/>
          <w:sz w:val="32"/>
          <w:szCs w:val="32"/>
        </w:rPr>
        <w:t>“</w:t>
      </w:r>
      <w:r>
        <w:rPr>
          <w:rFonts w:ascii="Times New Roman" w:hAnsi="仿宋_GB2312" w:eastAsia="仿宋_GB2312" w:cs="Times New Roman"/>
          <w:sz w:val="32"/>
          <w:szCs w:val="32"/>
        </w:rPr>
        <w:t>信用</w:t>
      </w:r>
      <w:r>
        <w:rPr>
          <w:rFonts w:ascii="Times New Roman" w:hAnsi="Times New Roman" w:eastAsia="仿宋_GB2312" w:cs="Times New Roman"/>
          <w:sz w:val="32"/>
          <w:szCs w:val="32"/>
        </w:rPr>
        <w:t>+</w:t>
      </w:r>
      <w:r>
        <w:rPr>
          <w:rFonts w:ascii="Times New Roman" w:hAnsi="仿宋_GB2312" w:eastAsia="仿宋_GB2312" w:cs="Times New Roman"/>
          <w:sz w:val="32"/>
          <w:szCs w:val="32"/>
        </w:rPr>
        <w:t>大数据</w:t>
      </w:r>
      <w:r>
        <w:rPr>
          <w:rFonts w:ascii="Times New Roman" w:hAnsi="Times New Roman" w:eastAsia="仿宋_GB2312" w:cs="Times New Roman"/>
          <w:sz w:val="32"/>
          <w:szCs w:val="32"/>
        </w:rPr>
        <w:t>”</w:t>
      </w:r>
      <w:r>
        <w:rPr>
          <w:rFonts w:ascii="Times New Roman" w:hAnsi="仿宋_GB2312" w:eastAsia="仿宋_GB2312" w:cs="Times New Roman"/>
          <w:sz w:val="32"/>
          <w:szCs w:val="32"/>
        </w:rPr>
        <w:t>综合评价模型，提供覆盖全区、全行业、全金融机构、全生命周期的信用服务，拓展守信激励应用场景。进一步推进社会信用联合奖惩。探索以信用报告代替各类证明，进一步便利企业上市等经营活动。探索建立跨境电商信用服务体系。全面推广信用承诺和告知承诺制。加强信用数据治理。完善失信信用修复机制。推进政务诚信建设，开展政府机构失信问题专项治理。</w:t>
      </w:r>
    </w:p>
    <w:p>
      <w:pPr>
        <w:spacing w:line="560" w:lineRule="exact"/>
        <w:ind w:firstLine="640" w:firstLineChars="200"/>
        <w:jc w:val="center"/>
        <w:outlineLvl w:val="0"/>
        <w:rPr>
          <w:rFonts w:ascii="Times New Roman" w:hAnsi="Times New Roman" w:eastAsia="黑体" w:cs="Times New Roman"/>
          <w:kern w:val="44"/>
          <w:sz w:val="32"/>
          <w:szCs w:val="32"/>
        </w:rPr>
      </w:pPr>
      <w:bookmarkStart w:id="179" w:name="_Toc60938121"/>
      <w:r>
        <w:rPr>
          <w:rFonts w:ascii="Times New Roman" w:hAnsi="Times New Roman" w:eastAsia="仿宋_GB2312" w:cs="Times New Roman"/>
          <w:bCs/>
          <w:sz w:val="32"/>
          <w:szCs w:val="32"/>
        </w:rPr>
        <w:br w:type="page"/>
      </w:r>
      <w:bookmarkStart w:id="180" w:name="_Toc61946345"/>
      <w:bookmarkStart w:id="181" w:name="_Toc26259"/>
      <w:bookmarkStart w:id="182" w:name="_Toc60738046"/>
      <w:bookmarkStart w:id="183" w:name="_Toc20279"/>
      <w:bookmarkStart w:id="184" w:name="_Toc6203"/>
      <w:r>
        <w:rPr>
          <w:rFonts w:ascii="Times New Roman" w:hAnsi="黑体" w:eastAsia="黑体" w:cs="Times New Roman"/>
          <w:kern w:val="44"/>
          <w:sz w:val="32"/>
          <w:szCs w:val="32"/>
        </w:rPr>
        <w:t>第九章</w:t>
      </w:r>
      <w:r>
        <w:rPr>
          <w:rFonts w:hint="eastAsia" w:ascii="Times New Roman" w:hAnsi="黑体" w:eastAsia="黑体" w:cs="Times New Roman"/>
          <w:kern w:val="44"/>
          <w:sz w:val="32"/>
          <w:szCs w:val="32"/>
          <w:lang w:val="en-US" w:eastAsia="zh-CN"/>
        </w:rPr>
        <w:t xml:space="preserve"> </w:t>
      </w:r>
      <w:r>
        <w:rPr>
          <w:rFonts w:ascii="Times New Roman" w:hAnsi="黑体" w:eastAsia="黑体" w:cs="Times New Roman"/>
          <w:kern w:val="44"/>
          <w:sz w:val="32"/>
          <w:szCs w:val="32"/>
        </w:rPr>
        <w:t>力促乡村振兴</w:t>
      </w:r>
      <w:r>
        <w:rPr>
          <w:rFonts w:hint="eastAsia" w:ascii="Times New Roman" w:hAnsi="黑体" w:eastAsia="黑体" w:cs="Times New Roman"/>
          <w:kern w:val="44"/>
          <w:sz w:val="32"/>
          <w:szCs w:val="32"/>
          <w:lang w:val="en-US" w:eastAsia="zh-CN"/>
        </w:rPr>
        <w:t xml:space="preserve"> </w:t>
      </w:r>
      <w:r>
        <w:rPr>
          <w:rFonts w:ascii="Times New Roman" w:hAnsi="黑体" w:eastAsia="黑体" w:cs="Times New Roman"/>
          <w:kern w:val="44"/>
          <w:sz w:val="32"/>
          <w:szCs w:val="32"/>
        </w:rPr>
        <w:t>加快农业农村现代化</w:t>
      </w:r>
      <w:bookmarkEnd w:id="179"/>
      <w:bookmarkEnd w:id="180"/>
      <w:bookmarkEnd w:id="181"/>
      <w:bookmarkEnd w:id="182"/>
      <w:bookmarkEnd w:id="183"/>
      <w:bookmarkEnd w:id="184"/>
    </w:p>
    <w:p>
      <w:pPr>
        <w:adjustRightInd/>
        <w:spacing w:line="560" w:lineRule="exact"/>
        <w:ind w:firstLine="640" w:firstLineChars="200"/>
        <w:jc w:val="both"/>
        <w:rPr>
          <w:rFonts w:ascii="Times New Roman" w:hAnsi="Times New Roman" w:eastAsia="仿宋_GB2312" w:cs="Times New Roman"/>
          <w:sz w:val="32"/>
          <w:szCs w:val="32"/>
        </w:rPr>
      </w:pPr>
      <w:bookmarkStart w:id="185" w:name="_Toc454"/>
      <w:bookmarkStart w:id="186" w:name="_Toc11148"/>
      <w:bookmarkStart w:id="187" w:name="_Toc28583"/>
    </w:p>
    <w:p>
      <w:pPr>
        <w:adjustRightInd/>
        <w:spacing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全面贯彻乡村振兴战略，进一步提高农业现代化水平，实施乡村建设行动，深化农村综合改革，</w:t>
      </w:r>
      <w:r>
        <w:rPr>
          <w:rFonts w:hint="eastAsia" w:ascii="Times New Roman" w:hAnsi="仿宋_GB2312" w:eastAsia="仿宋_GB2312" w:cs="Times New Roman"/>
          <w:sz w:val="32"/>
          <w:szCs w:val="32"/>
        </w:rPr>
        <w:t>推动城乡融合发展，</w:t>
      </w:r>
      <w:r>
        <w:rPr>
          <w:rFonts w:ascii="Times New Roman" w:hAnsi="仿宋_GB2312" w:eastAsia="仿宋_GB2312" w:cs="Times New Roman"/>
          <w:sz w:val="32"/>
          <w:szCs w:val="32"/>
        </w:rPr>
        <w:t>促进农业高质高效、乡村宜居宜业、农民富裕富足。</w:t>
      </w:r>
    </w:p>
    <w:p>
      <w:pPr>
        <w:pStyle w:val="3"/>
        <w:spacing w:line="560" w:lineRule="exact"/>
        <w:jc w:val="center"/>
        <w:rPr>
          <w:rFonts w:ascii="Times New Roman" w:hAnsi="Times New Roman" w:eastAsia="楷体_GB2312"/>
          <w:b w:val="0"/>
          <w:bCs w:val="0"/>
        </w:rPr>
      </w:pPr>
      <w:bookmarkStart w:id="188" w:name="_Toc19940"/>
      <w:bookmarkStart w:id="189" w:name="_Toc61946346"/>
      <w:bookmarkStart w:id="190" w:name="_Toc22825"/>
      <w:bookmarkStart w:id="191" w:name="_Toc32697"/>
      <w:bookmarkStart w:id="192" w:name="_Toc60738047"/>
      <w:r>
        <w:rPr>
          <w:rFonts w:ascii="Times New Roman" w:hAnsi="楷体_GB2312" w:eastAsia="楷体_GB2312"/>
          <w:b w:val="0"/>
          <w:bCs w:val="0"/>
        </w:rPr>
        <w:t>第一节</w:t>
      </w:r>
      <w:r>
        <w:rPr>
          <w:rFonts w:hint="eastAsia" w:ascii="Times New Roman" w:hAnsi="楷体_GB2312" w:eastAsia="楷体_GB2312"/>
          <w:b w:val="0"/>
          <w:bCs w:val="0"/>
          <w:lang w:val="en-US" w:eastAsia="zh-CN"/>
        </w:rPr>
        <w:t xml:space="preserve"> </w:t>
      </w:r>
      <w:r>
        <w:rPr>
          <w:rFonts w:ascii="Times New Roman" w:hAnsi="楷体_GB2312" w:eastAsia="楷体_GB2312"/>
          <w:b w:val="0"/>
          <w:bCs w:val="0"/>
        </w:rPr>
        <w:t>提高农业现代化水平</w:t>
      </w:r>
      <w:bookmarkEnd w:id="188"/>
      <w:bookmarkEnd w:id="189"/>
      <w:bookmarkEnd w:id="190"/>
      <w:bookmarkEnd w:id="191"/>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积极发展特色种养业。</w:t>
      </w:r>
      <w:r>
        <w:rPr>
          <w:rFonts w:ascii="Times New Roman" w:hAnsi="仿宋_GB2312" w:eastAsia="仿宋_GB2312" w:cs="Times New Roman"/>
          <w:sz w:val="32"/>
          <w:szCs w:val="32"/>
        </w:rPr>
        <w:t>培育新会柑、新会柑普茶、甜水萝卜、围垦</w:t>
      </w:r>
      <w:r>
        <w:rPr>
          <w:rFonts w:ascii="Times New Roman" w:hAnsi="Times New Roman" w:eastAsia="仿宋_GB2312" w:cs="Times New Roman"/>
          <w:sz w:val="32"/>
          <w:szCs w:val="32"/>
        </w:rPr>
        <w:t>“</w:t>
      </w:r>
      <w:r>
        <w:rPr>
          <w:rFonts w:ascii="Times New Roman" w:hAnsi="仿宋_GB2312" w:eastAsia="仿宋_GB2312" w:cs="Times New Roman"/>
          <w:sz w:val="32"/>
          <w:szCs w:val="32"/>
        </w:rPr>
        <w:t>九宝</w:t>
      </w:r>
      <w:r>
        <w:rPr>
          <w:rFonts w:ascii="Times New Roman" w:hAnsi="Times New Roman" w:eastAsia="仿宋_GB2312" w:cs="Times New Roman"/>
          <w:sz w:val="32"/>
          <w:szCs w:val="32"/>
        </w:rPr>
        <w:t>”</w:t>
      </w:r>
      <w:r>
        <w:rPr>
          <w:rFonts w:ascii="Times New Roman" w:hAnsi="仿宋_GB2312" w:eastAsia="仿宋_GB2312" w:cs="Times New Roman"/>
          <w:sz w:val="32"/>
          <w:szCs w:val="32"/>
        </w:rPr>
        <w:t>、新会小农占、南美白对虾、黄皮果蔗等一批名优特农产品，加快发展水果、蔬菜、花卉等特色种植业。加大新会陈皮道地性</w:t>
      </w:r>
      <w:r>
        <w:rPr>
          <w:rFonts w:hint="eastAsia" w:ascii="Times New Roman" w:hAnsi="仿宋_GB2312" w:eastAsia="仿宋_GB2312" w:cs="Times New Roman"/>
          <w:sz w:val="32"/>
          <w:szCs w:val="32"/>
        </w:rPr>
        <w:t>保护和</w:t>
      </w:r>
      <w:r>
        <w:rPr>
          <w:rFonts w:ascii="Times New Roman" w:hAnsi="仿宋_GB2312" w:eastAsia="仿宋_GB2312" w:cs="Times New Roman"/>
          <w:sz w:val="32"/>
          <w:szCs w:val="32"/>
        </w:rPr>
        <w:t>品牌</w:t>
      </w:r>
      <w:r>
        <w:rPr>
          <w:rFonts w:hint="eastAsia" w:ascii="Times New Roman" w:hAnsi="仿宋_GB2312" w:eastAsia="仿宋_GB2312" w:cs="Times New Roman"/>
          <w:sz w:val="32"/>
          <w:szCs w:val="32"/>
        </w:rPr>
        <w:t>化发展的</w:t>
      </w:r>
      <w:r>
        <w:rPr>
          <w:rFonts w:ascii="Times New Roman" w:hAnsi="仿宋_GB2312" w:eastAsia="仿宋_GB2312" w:cs="Times New Roman"/>
          <w:sz w:val="32"/>
          <w:szCs w:val="32"/>
        </w:rPr>
        <w:t>力度，依托优势企业和行业协会引入现代要素</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改造提升陈皮品牌，推动新会陈皮区域品牌做强做优。做大做强广东新供销新会陈皮有限公司，力争打造成为区域最具公信力和影响力的新会陈皮龙头企业</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积极推动小冈香申报国家地理标志保护产品，力争到</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年新增</w:t>
      </w:r>
      <w:r>
        <w:rPr>
          <w:rFonts w:ascii="Times New Roman" w:hAnsi="Times New Roman" w:eastAsia="仿宋_GB2312" w:cs="Times New Roman"/>
          <w:sz w:val="32"/>
          <w:szCs w:val="32"/>
        </w:rPr>
        <w:t>1-2</w:t>
      </w:r>
      <w:r>
        <w:rPr>
          <w:rFonts w:ascii="Times New Roman" w:hAnsi="仿宋_GB2312" w:eastAsia="仿宋_GB2312" w:cs="Times New Roman"/>
          <w:sz w:val="32"/>
          <w:szCs w:val="32"/>
        </w:rPr>
        <w:t>个农产品国家地理标志保护产品。大力发展特色水产养殖业，推动渔业高质量发展。</w:t>
      </w:r>
    </w:p>
    <w:p>
      <w:pPr>
        <w:adjustRightInd/>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推进农业科技创新。</w:t>
      </w:r>
      <w:r>
        <w:rPr>
          <w:rFonts w:ascii="Times New Roman" w:hAnsi="仿宋_GB2312" w:eastAsia="仿宋_GB2312" w:cs="Times New Roman"/>
          <w:sz w:val="32"/>
          <w:szCs w:val="32"/>
        </w:rPr>
        <w:t>推进</w:t>
      </w:r>
      <w:r>
        <w:rPr>
          <w:rFonts w:ascii="Times New Roman" w:hAnsi="Times New Roman" w:eastAsia="仿宋_GB2312" w:cs="Times New Roman"/>
          <w:sz w:val="32"/>
          <w:szCs w:val="32"/>
        </w:rPr>
        <w:t>“5G+</w:t>
      </w:r>
      <w:r>
        <w:rPr>
          <w:rFonts w:ascii="Times New Roman" w:hAnsi="仿宋_GB2312" w:eastAsia="仿宋_GB2312" w:cs="Times New Roman"/>
          <w:sz w:val="32"/>
          <w:szCs w:val="32"/>
        </w:rPr>
        <w:t>智慧农业</w:t>
      </w:r>
      <w:r>
        <w:rPr>
          <w:rFonts w:ascii="Times New Roman" w:hAnsi="Times New Roman" w:eastAsia="仿宋_GB2312" w:cs="Times New Roman"/>
          <w:sz w:val="32"/>
          <w:szCs w:val="32"/>
        </w:rPr>
        <w:t>”</w:t>
      </w:r>
      <w:r>
        <w:rPr>
          <w:rFonts w:ascii="Times New Roman" w:hAnsi="仿宋_GB2312" w:eastAsia="仿宋_GB2312" w:cs="Times New Roman"/>
          <w:sz w:val="32"/>
          <w:szCs w:val="32"/>
        </w:rPr>
        <w:t>体系建设，探索物联网、大数据、区块链、人工智能、</w:t>
      </w:r>
      <w:r>
        <w:rPr>
          <w:rFonts w:ascii="Times New Roman" w:hAnsi="Times New Roman" w:eastAsia="仿宋_GB2312" w:cs="Times New Roman"/>
          <w:sz w:val="32"/>
          <w:szCs w:val="32"/>
        </w:rPr>
        <w:t>5G</w:t>
      </w:r>
      <w:r>
        <w:rPr>
          <w:rFonts w:ascii="Times New Roman" w:hAnsi="仿宋_GB2312" w:eastAsia="仿宋_GB2312" w:cs="Times New Roman"/>
          <w:sz w:val="32"/>
          <w:szCs w:val="32"/>
        </w:rPr>
        <w:t>、智慧气象等现代信息技术在农业领域的应用。提升农业产业园区数字化基础设施水平，鼓励支持发展农产品质量安全溯源管理平台。重点支持现代农业关键技术研发及产业化、溯源体系建设、农业资源循环综合利用等技术的发展，鼓励有条件的农业企业申请专利和高新技术企业认定。加快完善多元化的农业技术推广服务体系，加强农技专业技术人才培训。构建农业大数据，建设农业资源数据平台和农业科技推广信息服务平台。健全动物防疫、农作物和森林病虫害防治体系。</w:t>
      </w:r>
    </w:p>
    <w:p>
      <w:pPr>
        <w:adjustRightInd/>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推动农村一二三产业融合发展。</w:t>
      </w:r>
      <w:r>
        <w:rPr>
          <w:rFonts w:ascii="Times New Roman" w:eastAsia="仿宋_GB2312" w:cs="Times New Roman"/>
          <w:sz w:val="32"/>
          <w:szCs w:val="32"/>
        </w:rPr>
        <w:t>实施重要农产品保障战略，深入实施藏粮于地、藏粮于技，落实耕地保护制度，加强高标准农田建设，稳定粮食播种面积。推进主要农产品稳产保供，稳定生猪基础产能，保障粮、油、肉等重要农产品供给安全。</w:t>
      </w:r>
      <w:r>
        <w:rPr>
          <w:rFonts w:ascii="Times New Roman" w:hAnsi="仿宋_GB2312" w:eastAsia="仿宋_GB2312" w:cs="Times New Roman"/>
          <w:sz w:val="32"/>
          <w:szCs w:val="32"/>
        </w:rPr>
        <w:t>加快发展农产品加工流通业，大力发展粮食产业化，支持农业龙头企业、农民合作社开展有机食品加工。推动传统食品加工技术和设备的改造升级，开发应用新技术、新工艺、新设备、新产品。充分利用水产养殖资源，发展精深加工。鼓励和支持各类</w:t>
      </w:r>
      <w:r>
        <w:rPr>
          <w:rFonts w:hint="eastAsia" w:ascii="Times New Roman" w:hAnsi="仿宋_GB2312" w:eastAsia="仿宋_GB2312" w:cs="Times New Roman"/>
          <w:sz w:val="32"/>
          <w:szCs w:val="32"/>
        </w:rPr>
        <w:t>市场</w:t>
      </w:r>
      <w:r>
        <w:rPr>
          <w:rFonts w:ascii="Times New Roman" w:hAnsi="仿宋_GB2312" w:eastAsia="仿宋_GB2312" w:cs="Times New Roman"/>
          <w:sz w:val="32"/>
          <w:szCs w:val="32"/>
        </w:rPr>
        <w:t>主体投资发展农产品冷链储运业，新建一批冷冻冷藏、保鲜加工等冷链基础设施。推进农业与旅游、教育、文化与产业的深度融合，实现农业从单纯的生产向生态、生活功能的拓展。推动陈皮全产业链健康发展，力争将新会陈皮国家现代农业产业园打造成一二三产融合发展的全国标杆。加快发展农村电子商务，鼓励农商双向合作，强化</w:t>
      </w:r>
      <w:r>
        <w:rPr>
          <w:rFonts w:ascii="Times New Roman" w:hAnsi="Times New Roman" w:eastAsia="仿宋_GB2312" w:cs="Times New Roman"/>
          <w:sz w:val="32"/>
          <w:szCs w:val="32"/>
        </w:rPr>
        <w:t>“</w:t>
      </w:r>
      <w:r>
        <w:rPr>
          <w:rFonts w:ascii="Times New Roman" w:hAnsi="仿宋_GB2312" w:eastAsia="仿宋_GB2312" w:cs="Times New Roman"/>
          <w:sz w:val="32"/>
          <w:szCs w:val="32"/>
        </w:rPr>
        <w:t>农超对接</w:t>
      </w:r>
      <w:r>
        <w:rPr>
          <w:rFonts w:ascii="Times New Roman" w:hAnsi="Times New Roman" w:eastAsia="仿宋_GB2312" w:cs="Times New Roman"/>
          <w:sz w:val="32"/>
          <w:szCs w:val="32"/>
        </w:rPr>
        <w:t>”</w:t>
      </w:r>
      <w:r>
        <w:rPr>
          <w:rFonts w:ascii="Times New Roman" w:hAnsi="仿宋_GB2312" w:eastAsia="仿宋_GB2312" w:cs="Times New Roman"/>
          <w:sz w:val="32"/>
          <w:szCs w:val="32"/>
        </w:rPr>
        <w:t>。鼓励和支持电商企业与种植户、合作社、基地合作，搭建</w:t>
      </w:r>
      <w:r>
        <w:rPr>
          <w:rFonts w:ascii="Times New Roman" w:hAnsi="Times New Roman" w:eastAsia="仿宋_GB2312" w:cs="Times New Roman"/>
          <w:sz w:val="32"/>
          <w:szCs w:val="32"/>
        </w:rPr>
        <w:t>“</w:t>
      </w:r>
      <w:r>
        <w:rPr>
          <w:rFonts w:ascii="Times New Roman" w:hAnsi="仿宋_GB2312" w:eastAsia="仿宋_GB2312" w:cs="Times New Roman"/>
          <w:sz w:val="32"/>
          <w:szCs w:val="32"/>
        </w:rPr>
        <w:t>电商企业</w:t>
      </w:r>
      <w:r>
        <w:rPr>
          <w:rFonts w:ascii="Times New Roman" w:hAnsi="Times New Roman" w:eastAsia="仿宋_GB2312" w:cs="Times New Roman"/>
          <w:sz w:val="32"/>
          <w:szCs w:val="32"/>
        </w:rPr>
        <w:t>+</w:t>
      </w:r>
      <w:r>
        <w:rPr>
          <w:rFonts w:ascii="Times New Roman" w:hAnsi="仿宋_GB2312" w:eastAsia="仿宋_GB2312" w:cs="Times New Roman"/>
          <w:sz w:val="32"/>
          <w:szCs w:val="32"/>
        </w:rPr>
        <w:t>生产基地</w:t>
      </w:r>
      <w:r>
        <w:rPr>
          <w:rFonts w:ascii="Times New Roman" w:hAnsi="Times New Roman" w:eastAsia="仿宋_GB2312" w:cs="Times New Roman"/>
          <w:sz w:val="32"/>
          <w:szCs w:val="32"/>
        </w:rPr>
        <w:t>+</w:t>
      </w:r>
      <w:r>
        <w:rPr>
          <w:rFonts w:ascii="Times New Roman" w:hAnsi="仿宋_GB2312" w:eastAsia="仿宋_GB2312" w:cs="Times New Roman"/>
          <w:sz w:val="32"/>
          <w:szCs w:val="32"/>
        </w:rPr>
        <w:t>农户</w:t>
      </w:r>
      <w:r>
        <w:rPr>
          <w:rFonts w:ascii="Times New Roman" w:hAnsi="Times New Roman" w:eastAsia="仿宋_GB2312" w:cs="Times New Roman"/>
          <w:sz w:val="32"/>
          <w:szCs w:val="32"/>
        </w:rPr>
        <w:t>”</w:t>
      </w:r>
      <w:r>
        <w:rPr>
          <w:rFonts w:ascii="Times New Roman" w:hAnsi="仿宋_GB2312" w:eastAsia="仿宋_GB2312" w:cs="Times New Roman"/>
          <w:sz w:val="32"/>
          <w:szCs w:val="32"/>
        </w:rPr>
        <w:t>产品供销模式。</w:t>
      </w:r>
    </w:p>
    <w:bookmarkEnd w:id="192"/>
    <w:p>
      <w:pPr>
        <w:pStyle w:val="3"/>
        <w:spacing w:line="560" w:lineRule="exact"/>
        <w:jc w:val="center"/>
        <w:rPr>
          <w:rFonts w:ascii="Times New Roman" w:hAnsi="Times New Roman" w:eastAsia="楷体_GB2312"/>
          <w:b w:val="0"/>
        </w:rPr>
      </w:pPr>
      <w:bookmarkStart w:id="193" w:name="_Toc31964"/>
      <w:bookmarkStart w:id="194" w:name="_Toc61946347"/>
      <w:bookmarkStart w:id="195" w:name="_Toc22969"/>
      <w:bookmarkStart w:id="196" w:name="_Toc31141"/>
      <w:bookmarkStart w:id="197" w:name="_Toc60738048"/>
      <w:r>
        <w:rPr>
          <w:rFonts w:ascii="Times New Roman" w:hAnsi="Times New Roman" w:eastAsia="楷体_GB2312"/>
          <w:b w:val="0"/>
        </w:rPr>
        <w:t>第二节 加快实施乡村建设行动</w:t>
      </w:r>
      <w:bookmarkEnd w:id="193"/>
      <w:bookmarkEnd w:id="194"/>
      <w:bookmarkEnd w:id="195"/>
      <w:bookmarkEnd w:id="196"/>
      <w:bookmarkEnd w:id="197"/>
    </w:p>
    <w:p>
      <w:pPr>
        <w:adjustRightInd/>
        <w:spacing w:line="560" w:lineRule="exact"/>
        <w:ind w:firstLine="643"/>
        <w:jc w:val="both"/>
        <w:rPr>
          <w:rFonts w:ascii="Times New Roman" w:hAnsi="Times New Roman" w:eastAsia="仿宋_GB2312" w:cs="Times New Roman"/>
          <w:b/>
          <w:bCs/>
          <w:sz w:val="32"/>
          <w:szCs w:val="32"/>
        </w:rPr>
      </w:pPr>
      <w:r>
        <w:rPr>
          <w:rFonts w:ascii="Times New Roman" w:hAnsi="仿宋_GB2312" w:eastAsia="仿宋_GB2312" w:cs="Times New Roman"/>
          <w:b/>
          <w:sz w:val="32"/>
          <w:szCs w:val="32"/>
        </w:rPr>
        <w:t>加强农村基层组织建设。</w:t>
      </w:r>
      <w:r>
        <w:rPr>
          <w:rFonts w:ascii="Times New Roman" w:hAnsi="Times New Roman" w:eastAsia="仿宋_GB2312" w:cs="Times New Roman"/>
          <w:bCs/>
          <w:sz w:val="32"/>
          <w:szCs w:val="32"/>
        </w:rPr>
        <w:t>坚持党建引领，实施农村党组织组织力提升工程，强化农村基层党组织的领导地位，深化镇街基层党组织对村（社区）党组织和各类组织指导监督，确保农村基层党组织对同级各类组织的领导。持续抓好农村基层组织向党组织报告工作、村（社区）党组织书记县级党委备案等制度落地落实。选优配强基层“头雁”，加大乡村振兴人才培养。健全政治、法治、德治、自治、智治相结合的乡村治理体系，组织动员党员、干部、群众、海内外侨胞全面参与乡村振兴，不断提高党的农村基层组织建设质量。深入推进平安乡村建设，创新乡村治理方式，继续探索完善农村积分管理，提高乡村善治水平。</w:t>
      </w:r>
      <w:r>
        <w:rPr>
          <w:rFonts w:ascii="Times New Roman" w:hAnsi="仿宋_GB2312" w:eastAsia="仿宋_GB2312" w:cs="Times New Roman"/>
          <w:sz w:val="32"/>
          <w:szCs w:val="32"/>
        </w:rPr>
        <w:t>开展农村创业创新优秀带头人和典型镇的宣传推介，培育融合主体，增强新型职业农民、农村实用人才的技能培训。</w:t>
      </w:r>
    </w:p>
    <w:p>
      <w:pPr>
        <w:spacing w:line="560" w:lineRule="exact"/>
        <w:ind w:firstLine="643"/>
        <w:jc w:val="both"/>
        <w:rPr>
          <w:rFonts w:ascii="Times New Roman" w:hAnsi="Times New Roman" w:eastAsia="仿宋_GB2312" w:cs="Times New Roman"/>
          <w:bCs/>
          <w:sz w:val="32"/>
          <w:szCs w:val="32"/>
        </w:rPr>
      </w:pPr>
      <w:r>
        <w:rPr>
          <w:rFonts w:ascii="Times New Roman" w:hAnsi="仿宋_GB2312" w:eastAsia="仿宋_GB2312" w:cs="Times New Roman"/>
          <w:b/>
          <w:sz w:val="32"/>
          <w:szCs w:val="32"/>
        </w:rPr>
        <w:t>提升农村人居环境品质。</w:t>
      </w:r>
      <w:r>
        <w:rPr>
          <w:rFonts w:ascii="Times New Roman" w:hAnsi="Times New Roman" w:eastAsia="仿宋_GB2312" w:cs="Times New Roman"/>
          <w:bCs/>
          <w:sz w:val="32"/>
          <w:szCs w:val="32"/>
        </w:rPr>
        <w:t>全面提升农村生产生活设施水平。深化“葵乡美丽廊道”整治，扎实推进垃圾治理、污水处理、“厕所革命”、畜禽养殖废弃物处理、农房建设管控和乡村风貌提升</w:t>
      </w:r>
      <w:r>
        <w:rPr>
          <w:rFonts w:hint="eastAsia" w:ascii="Times New Roman" w:hAnsi="Times New Roman" w:eastAsia="仿宋_GB2312" w:cs="Times New Roman"/>
          <w:bCs/>
          <w:sz w:val="32"/>
          <w:szCs w:val="32"/>
        </w:rPr>
        <w:t>工程</w:t>
      </w:r>
      <w:r>
        <w:rPr>
          <w:rFonts w:ascii="Times New Roman" w:hAnsi="Times New Roman" w:eastAsia="仿宋_GB2312" w:cs="Times New Roman"/>
          <w:bCs/>
          <w:sz w:val="32"/>
          <w:szCs w:val="32"/>
        </w:rPr>
        <w:t>。提高农房建设质量，科学治理“空心村”。加快“四好农村路”建设，实施新一轮农村电网改造升级工程。推动老区基础设施提档升级、提升公共服务质量、增强内生发展动力，加快老区振兴发展。推进灌区续建配套与节水改造以及中小河流治理。积极引导农民在房前屋后、道路两旁植树护绿。到“十四五”规划期末所有村基本建成美丽宜居乡村。</w:t>
      </w:r>
    </w:p>
    <w:p>
      <w:pPr>
        <w:spacing w:line="560" w:lineRule="exact"/>
        <w:ind w:firstLine="643" w:firstLineChars="200"/>
        <w:jc w:val="both"/>
        <w:rPr>
          <w:rFonts w:ascii="Times New Roman" w:hAnsi="Times New Roman" w:eastAsia="仿宋_GB2312" w:cs="Times New Roman"/>
          <w:bCs/>
          <w:sz w:val="32"/>
          <w:szCs w:val="32"/>
        </w:rPr>
      </w:pPr>
      <w:r>
        <w:rPr>
          <w:rFonts w:ascii="Times New Roman" w:hAnsi="仿宋_GB2312" w:eastAsia="仿宋_GB2312" w:cs="Times New Roman"/>
          <w:b/>
          <w:sz w:val="32"/>
          <w:szCs w:val="32"/>
        </w:rPr>
        <w:t>发展乡村特色旅游。</w:t>
      </w:r>
      <w:r>
        <w:rPr>
          <w:rFonts w:ascii="Times New Roman" w:hAnsi="Times New Roman" w:eastAsia="仿宋_GB2312" w:cs="Times New Roman"/>
          <w:bCs/>
          <w:sz w:val="32"/>
          <w:szCs w:val="32"/>
        </w:rPr>
        <w:t>放大历史古村落文化IP资源，加快推动崖门蔡李佛、小鸟天堂等历史文脉的活化利用。深挖“三组团”山水林田湖资源，发挥温泉、客家、古村落、皇族文化等优势，打造一批乡村游精品。继续塑造大夜市、古井烧鹅街等特色“网红打卡地”，支持乡村民宿建设。深挖和发展传统产业、文化旅游等资源，推进崖门融创文化等文旅项目，擦亮湾区“微度假”目的地名片。</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巩固脱贫攻坚成果。</w:t>
      </w:r>
      <w:r>
        <w:rPr>
          <w:rFonts w:ascii="Times New Roman" w:hAnsi="仿宋_GB2312" w:eastAsia="仿宋_GB2312" w:cs="Times New Roman"/>
          <w:sz w:val="32"/>
          <w:szCs w:val="32"/>
        </w:rPr>
        <w:t>保持帮扶政策、资金支持、帮扶力量总体稳定，巩固拓展脱贫攻坚成果与乡村振兴有效衔接。</w:t>
      </w:r>
      <w:r>
        <w:rPr>
          <w:rFonts w:ascii="Times New Roman" w:hAnsi="Times New Roman" w:eastAsia="仿宋_GB2312" w:cs="Times New Roman"/>
          <w:bCs/>
          <w:sz w:val="32"/>
          <w:szCs w:val="32"/>
        </w:rPr>
        <w:t>建立</w:t>
      </w:r>
      <w:r>
        <w:rPr>
          <w:rFonts w:hint="eastAsia" w:ascii="Times New Roman" w:hAnsi="Times New Roman" w:eastAsia="仿宋_GB2312" w:cs="Times New Roman"/>
          <w:bCs/>
          <w:sz w:val="32"/>
          <w:szCs w:val="32"/>
          <w:lang w:eastAsia="zh-CN"/>
        </w:rPr>
        <w:t>解决相对贫困的</w:t>
      </w:r>
      <w:r>
        <w:rPr>
          <w:rFonts w:ascii="Times New Roman" w:hAnsi="Times New Roman" w:eastAsia="仿宋_GB2312" w:cs="Times New Roman"/>
          <w:bCs/>
          <w:sz w:val="32"/>
          <w:szCs w:val="32"/>
        </w:rPr>
        <w:t>长效机制，完善产业带动、稳岗就业、消费扶贫、金融扶贫等长效措施。加强农村低收入人口和欠发达村（社区）帮扶，实施新一轮对口帮扶和“万企帮万村”行动。强化扶贫项目资金资产管理和监督，保持财政投入总体稳定，持续提升产业、就业、教育、消费、住房等领域扶贫效能，逐步提高脱贫质量。</w:t>
      </w:r>
      <w:r>
        <w:rPr>
          <w:rFonts w:ascii="Times New Roman" w:hAnsi="仿宋_GB2312" w:eastAsia="仿宋_GB2312" w:cs="Times New Roman"/>
          <w:sz w:val="32"/>
          <w:szCs w:val="32"/>
        </w:rPr>
        <w:t>坚持开展</w:t>
      </w:r>
      <w:r>
        <w:rPr>
          <w:rFonts w:ascii="Times New Roman" w:hAnsi="Times New Roman" w:eastAsia="仿宋_GB2312" w:cs="Times New Roman"/>
          <w:sz w:val="32"/>
          <w:szCs w:val="32"/>
        </w:rPr>
        <w:t>“</w:t>
      </w:r>
      <w:r>
        <w:rPr>
          <w:rFonts w:ascii="Times New Roman" w:hAnsi="仿宋_GB2312" w:eastAsia="仿宋_GB2312" w:cs="Times New Roman"/>
          <w:sz w:val="32"/>
          <w:szCs w:val="32"/>
        </w:rPr>
        <w:t>回头看</w:t>
      </w:r>
      <w:r>
        <w:rPr>
          <w:rFonts w:ascii="Times New Roman" w:hAnsi="Times New Roman" w:eastAsia="仿宋_GB2312" w:cs="Times New Roman"/>
          <w:sz w:val="32"/>
          <w:szCs w:val="32"/>
        </w:rPr>
        <w:t>”</w:t>
      </w:r>
      <w:r>
        <w:rPr>
          <w:rFonts w:ascii="Times New Roman" w:hAnsi="仿宋_GB2312" w:eastAsia="仿宋_GB2312" w:cs="Times New Roman"/>
          <w:sz w:val="32"/>
          <w:szCs w:val="32"/>
        </w:rPr>
        <w:t>，强化返贫检测预警和动态帮扶机制。</w:t>
      </w:r>
    </w:p>
    <w:p>
      <w:pPr>
        <w:pStyle w:val="3"/>
        <w:spacing w:line="560" w:lineRule="exact"/>
        <w:jc w:val="center"/>
        <w:rPr>
          <w:rFonts w:ascii="Times New Roman" w:hAnsi="Times New Roman" w:eastAsia="楷体_GB2312"/>
          <w:b w:val="0"/>
        </w:rPr>
      </w:pPr>
      <w:bookmarkStart w:id="198" w:name="_Toc14390"/>
      <w:bookmarkStart w:id="199" w:name="_Toc30236"/>
      <w:bookmarkStart w:id="200" w:name="_Toc21537"/>
      <w:bookmarkStart w:id="201" w:name="_Toc61946348"/>
      <w:bookmarkStart w:id="202" w:name="_Toc60738050"/>
      <w:r>
        <w:rPr>
          <w:rFonts w:ascii="Times New Roman" w:hAnsi="Times New Roman" w:eastAsia="楷体_GB2312"/>
          <w:b w:val="0"/>
        </w:rPr>
        <w:t>第三节 全面深化农村改革</w:t>
      </w:r>
      <w:bookmarkEnd w:id="198"/>
      <w:bookmarkEnd w:id="199"/>
      <w:bookmarkEnd w:id="200"/>
      <w:bookmarkEnd w:id="201"/>
      <w:bookmarkEnd w:id="202"/>
    </w:p>
    <w:p>
      <w:pPr>
        <w:pStyle w:val="33"/>
        <w:spacing w:line="560" w:lineRule="exact"/>
        <w:ind w:firstLine="643"/>
        <w:rPr>
          <w:rFonts w:ascii="Times New Roman" w:hAnsi="Times New Roman" w:eastAsia="仿宋_GB2312"/>
          <w:sz w:val="32"/>
          <w:szCs w:val="32"/>
        </w:rPr>
      </w:pPr>
      <w:r>
        <w:rPr>
          <w:rFonts w:ascii="Times New Roman" w:eastAsia="仿宋_GB2312"/>
          <w:b/>
          <w:sz w:val="32"/>
          <w:szCs w:val="32"/>
        </w:rPr>
        <w:t>深化农村综合改革。</w:t>
      </w:r>
      <w:r>
        <w:rPr>
          <w:rFonts w:ascii="Times New Roman" w:eastAsia="仿宋_GB2312"/>
          <w:sz w:val="32"/>
          <w:szCs w:val="32"/>
        </w:rPr>
        <w:t>落实第二轮土地承包到期后再延长三十年政策。实施农村集体经营性建设用地入市制度，推进农村承包地和宅基地</w:t>
      </w:r>
      <w:r>
        <w:rPr>
          <w:rFonts w:ascii="Times New Roman" w:hAnsi="Times New Roman" w:eastAsia="仿宋_GB2312"/>
          <w:sz w:val="32"/>
          <w:szCs w:val="32"/>
        </w:rPr>
        <w:t>“</w:t>
      </w:r>
      <w:r>
        <w:rPr>
          <w:rFonts w:ascii="Times New Roman" w:eastAsia="仿宋_GB2312"/>
          <w:sz w:val="32"/>
          <w:szCs w:val="32"/>
        </w:rPr>
        <w:t>三权分置</w:t>
      </w:r>
      <w:r>
        <w:rPr>
          <w:rFonts w:ascii="Times New Roman" w:hAnsi="Times New Roman" w:eastAsia="仿宋_GB2312"/>
          <w:sz w:val="32"/>
          <w:szCs w:val="32"/>
        </w:rPr>
        <w:t>”</w:t>
      </w:r>
      <w:r>
        <w:rPr>
          <w:rFonts w:ascii="Times New Roman" w:eastAsia="仿宋_GB2312"/>
          <w:sz w:val="32"/>
          <w:szCs w:val="32"/>
        </w:rPr>
        <w:t>改革，深化农村集体产权制度改革，严格管理农村产权规范流转和交易，大力提高土地出让收入用于农业农村</w:t>
      </w:r>
      <w:r>
        <w:rPr>
          <w:rFonts w:hint="eastAsia" w:ascii="Times New Roman" w:eastAsia="仿宋_GB2312"/>
          <w:sz w:val="32"/>
          <w:szCs w:val="32"/>
        </w:rPr>
        <w:t>建设</w:t>
      </w:r>
      <w:r>
        <w:rPr>
          <w:rFonts w:ascii="Times New Roman" w:eastAsia="仿宋_GB2312"/>
          <w:sz w:val="32"/>
          <w:szCs w:val="32"/>
        </w:rPr>
        <w:t>比例。落实土地征收公共利益用地认定机制，缩小土地征收范围。探索建立城乡统一的建设用地市场。加强保障进城落户农民土地承包权、宅基地使用权、集体收益分配权等权益，鼓励依法自愿有偿转让。进一步管好、盘活、用足农村</w:t>
      </w:r>
      <w:r>
        <w:rPr>
          <w:rFonts w:ascii="Times New Roman" w:hAnsi="Times New Roman" w:eastAsia="仿宋_GB2312"/>
          <w:sz w:val="32"/>
          <w:szCs w:val="32"/>
        </w:rPr>
        <w:t>“</w:t>
      </w:r>
      <w:r>
        <w:rPr>
          <w:rFonts w:ascii="Times New Roman" w:eastAsia="仿宋_GB2312"/>
          <w:sz w:val="32"/>
          <w:szCs w:val="32"/>
        </w:rPr>
        <w:t>三资</w:t>
      </w:r>
      <w:r>
        <w:rPr>
          <w:rFonts w:ascii="Times New Roman" w:hAnsi="Times New Roman" w:eastAsia="仿宋_GB2312"/>
          <w:sz w:val="32"/>
          <w:szCs w:val="32"/>
        </w:rPr>
        <w:t>”</w:t>
      </w:r>
      <w:r>
        <w:rPr>
          <w:rFonts w:ascii="Times New Roman" w:eastAsia="仿宋_GB2312"/>
          <w:sz w:val="32"/>
          <w:szCs w:val="32"/>
        </w:rPr>
        <w:t>，强化</w:t>
      </w:r>
      <w:r>
        <w:rPr>
          <w:rFonts w:ascii="Times New Roman" w:hAnsi="Times New Roman" w:eastAsia="仿宋_GB2312"/>
          <w:sz w:val="32"/>
          <w:szCs w:val="32"/>
        </w:rPr>
        <w:t>“</w:t>
      </w:r>
      <w:r>
        <w:rPr>
          <w:rFonts w:ascii="Times New Roman" w:eastAsia="仿宋_GB2312"/>
          <w:sz w:val="32"/>
          <w:szCs w:val="32"/>
        </w:rPr>
        <w:t>三资</w:t>
      </w:r>
      <w:r>
        <w:rPr>
          <w:rFonts w:ascii="Times New Roman" w:hAnsi="Times New Roman" w:eastAsia="仿宋_GB2312"/>
          <w:sz w:val="32"/>
          <w:szCs w:val="32"/>
        </w:rPr>
        <w:t>”</w:t>
      </w:r>
      <w:r>
        <w:rPr>
          <w:rFonts w:ascii="Times New Roman" w:eastAsia="仿宋_GB2312"/>
          <w:sz w:val="32"/>
          <w:szCs w:val="32"/>
        </w:rPr>
        <w:t>数字化管理，发展壮大农村集体经济。巩固供销合作社综合改革成果，强化服务农民生产生活的综合能力。构建新型助农服务体系，认真培育一批农民合作社、家庭农场等新型农业经营主体。</w:t>
      </w:r>
      <w:r>
        <w:rPr>
          <w:rFonts w:hint="eastAsia" w:ascii="Times New Roman" w:eastAsia="仿宋_GB2312"/>
          <w:sz w:val="32"/>
          <w:szCs w:val="32"/>
          <w:lang w:eastAsia="zh-CN"/>
        </w:rPr>
        <w:t>深化</w:t>
      </w:r>
      <w:r>
        <w:rPr>
          <w:rFonts w:ascii="Times New Roman" w:hAnsi="Times New Roman" w:eastAsia="仿宋_GB2312"/>
          <w:sz w:val="32"/>
          <w:szCs w:val="32"/>
        </w:rPr>
        <w:t>“</w:t>
      </w:r>
      <w:r>
        <w:rPr>
          <w:rFonts w:ascii="Times New Roman" w:eastAsia="仿宋_GB2312"/>
          <w:sz w:val="32"/>
          <w:szCs w:val="32"/>
        </w:rPr>
        <w:t>葵乡惠农贷</w:t>
      </w:r>
      <w:r>
        <w:rPr>
          <w:rFonts w:ascii="Times New Roman" w:hAnsi="Times New Roman" w:eastAsia="仿宋_GB2312"/>
          <w:sz w:val="32"/>
          <w:szCs w:val="32"/>
        </w:rPr>
        <w:t>”</w:t>
      </w:r>
      <w:r>
        <w:rPr>
          <w:rFonts w:ascii="Times New Roman" w:eastAsia="仿宋_GB2312"/>
          <w:sz w:val="32"/>
          <w:szCs w:val="32"/>
        </w:rPr>
        <w:t>等农村金融服务，</w:t>
      </w:r>
      <w:r>
        <w:rPr>
          <w:rFonts w:hint="eastAsia" w:ascii="Times New Roman" w:eastAsia="仿宋_GB2312"/>
          <w:sz w:val="32"/>
          <w:szCs w:val="32"/>
          <w:lang w:eastAsia="zh-CN"/>
        </w:rPr>
        <w:t>发展</w:t>
      </w:r>
      <w:r>
        <w:rPr>
          <w:rFonts w:ascii="Times New Roman" w:eastAsia="仿宋_GB2312"/>
          <w:sz w:val="32"/>
          <w:szCs w:val="32"/>
        </w:rPr>
        <w:t>农村保险。</w:t>
      </w:r>
    </w:p>
    <w:p>
      <w:pPr>
        <w:pStyle w:val="33"/>
        <w:spacing w:line="560" w:lineRule="exact"/>
        <w:ind w:firstLine="643"/>
        <w:rPr>
          <w:rFonts w:ascii="Times New Roman" w:hAnsi="Times New Roman" w:eastAsia="仿宋_GB2312"/>
          <w:sz w:val="32"/>
          <w:szCs w:val="32"/>
        </w:rPr>
      </w:pPr>
      <w:r>
        <w:rPr>
          <w:rFonts w:ascii="Times New Roman" w:eastAsia="仿宋_GB2312"/>
          <w:b/>
          <w:sz w:val="32"/>
          <w:szCs w:val="32"/>
        </w:rPr>
        <w:t>健全城乡融合发展机制。</w:t>
      </w:r>
      <w:r>
        <w:rPr>
          <w:rFonts w:ascii="Times New Roman" w:eastAsia="仿宋_GB2312"/>
          <w:sz w:val="32"/>
          <w:szCs w:val="32"/>
        </w:rPr>
        <w:t>以</w:t>
      </w:r>
      <w:r>
        <w:rPr>
          <w:rFonts w:hint="eastAsia" w:ascii="Times New Roman" w:eastAsia="仿宋_GB2312"/>
          <w:sz w:val="32"/>
          <w:szCs w:val="32"/>
          <w:lang w:eastAsia="zh-CN"/>
        </w:rPr>
        <w:t>江门</w:t>
      </w:r>
      <w:r>
        <w:rPr>
          <w:rFonts w:ascii="Times New Roman" w:eastAsia="仿宋_GB2312"/>
          <w:sz w:val="32"/>
          <w:szCs w:val="32"/>
        </w:rPr>
        <w:t>中心城区产城融合示范区和城乡融合发展省级试点为抓手，充分发挥地区体制机制创新的先行探索基础优势，会城、司前、大泽在探索完善城乡生产要素双向流动和公共资源合理配置的体制机制方面先行先试，双水镇围绕建立健全美丽小城镇发展机制，增强城镇对乡村的辐射带动能力。编制完善县域村庄规划，推动农村基础设施提档升级，加快盘活利用各类低效城镇建设用地，统筹推进</w:t>
      </w:r>
      <w:r>
        <w:rPr>
          <w:rFonts w:ascii="Times New Roman" w:hAnsi="Times New Roman" w:eastAsia="仿宋_GB2312"/>
          <w:sz w:val="32"/>
          <w:szCs w:val="32"/>
        </w:rPr>
        <w:t>“</w:t>
      </w:r>
      <w:r>
        <w:rPr>
          <w:rFonts w:ascii="Times New Roman" w:eastAsia="仿宋_GB2312"/>
          <w:sz w:val="32"/>
          <w:szCs w:val="32"/>
        </w:rPr>
        <w:t>村改居</w:t>
      </w:r>
      <w:r>
        <w:rPr>
          <w:rFonts w:ascii="Times New Roman" w:hAnsi="Times New Roman" w:eastAsia="仿宋_GB2312"/>
          <w:sz w:val="32"/>
          <w:szCs w:val="32"/>
        </w:rPr>
        <w:t>”</w:t>
      </w:r>
      <w:r>
        <w:rPr>
          <w:rFonts w:ascii="Times New Roman" w:eastAsia="仿宋_GB2312"/>
          <w:sz w:val="32"/>
          <w:szCs w:val="32"/>
        </w:rPr>
        <w:t>工作。</w:t>
      </w:r>
    </w:p>
    <w:p>
      <w:pPr>
        <w:pStyle w:val="2"/>
        <w:keepNext w:val="0"/>
        <w:keepLines w:val="0"/>
        <w:widowControl/>
        <w:adjustRightInd/>
        <w:spacing w:beforeLines="50" w:afterLines="50" w:line="560" w:lineRule="exact"/>
        <w:rPr>
          <w:rFonts w:ascii="Times New Roman" w:hAnsi="Times New Roman"/>
          <w:b w:val="0"/>
          <w:bCs/>
          <w:kern w:val="36"/>
          <w:szCs w:val="32"/>
          <w:shd w:val="clear" w:color="auto" w:fill="FFFFFF"/>
        </w:rPr>
      </w:pPr>
      <w:r>
        <w:rPr>
          <w:rFonts w:ascii="Times New Roman" w:hAnsi="Times New Roman" w:eastAsia="仿宋_GB2312"/>
          <w:szCs w:val="32"/>
        </w:rPr>
        <w:br w:type="page"/>
      </w:r>
      <w:bookmarkStart w:id="203" w:name="_Toc18373"/>
      <w:bookmarkStart w:id="204" w:name="_Toc60738051"/>
      <w:bookmarkStart w:id="205" w:name="_Toc61946349"/>
      <w:bookmarkStart w:id="206" w:name="_Toc19787"/>
      <w:bookmarkStart w:id="207" w:name="_Toc15961"/>
      <w:r>
        <w:rPr>
          <w:rFonts w:ascii="Times New Roman" w:hAnsi="黑体"/>
          <w:b w:val="0"/>
          <w:bCs/>
          <w:kern w:val="36"/>
          <w:szCs w:val="32"/>
          <w:shd w:val="clear" w:color="auto" w:fill="FFFFFF"/>
        </w:rPr>
        <w:t>第十章</w:t>
      </w:r>
      <w:r>
        <w:rPr>
          <w:rFonts w:hint="eastAsia" w:ascii="Times New Roman" w:hAnsi="黑体"/>
          <w:b w:val="0"/>
          <w:bCs/>
          <w:kern w:val="36"/>
          <w:szCs w:val="32"/>
          <w:shd w:val="clear" w:color="auto" w:fill="FFFFFF"/>
          <w:lang w:val="en-US" w:eastAsia="zh-CN"/>
        </w:rPr>
        <w:t xml:space="preserve"> </w:t>
      </w:r>
      <w:r>
        <w:rPr>
          <w:rFonts w:ascii="Times New Roman" w:hAnsi="黑体"/>
          <w:b w:val="0"/>
          <w:bCs/>
          <w:kern w:val="36"/>
          <w:szCs w:val="32"/>
          <w:shd w:val="clear" w:color="auto" w:fill="FFFFFF"/>
        </w:rPr>
        <w:t>坚持绿色发展</w:t>
      </w:r>
      <w:r>
        <w:rPr>
          <w:rFonts w:hint="eastAsia" w:ascii="Times New Roman" w:hAnsi="黑体"/>
          <w:b w:val="0"/>
          <w:bCs/>
          <w:kern w:val="36"/>
          <w:szCs w:val="32"/>
          <w:shd w:val="clear" w:color="auto" w:fill="FFFFFF"/>
          <w:lang w:val="en-US" w:eastAsia="zh-CN"/>
        </w:rPr>
        <w:t xml:space="preserve"> </w:t>
      </w:r>
      <w:r>
        <w:rPr>
          <w:rFonts w:ascii="Times New Roman" w:hAnsi="黑体"/>
          <w:b w:val="0"/>
          <w:bCs/>
          <w:kern w:val="36"/>
          <w:szCs w:val="32"/>
          <w:shd w:val="clear" w:color="auto" w:fill="FFFFFF"/>
        </w:rPr>
        <w:t>持续深化生态文明建设</w:t>
      </w:r>
      <w:bookmarkEnd w:id="203"/>
      <w:bookmarkEnd w:id="204"/>
      <w:bookmarkEnd w:id="205"/>
      <w:bookmarkEnd w:id="206"/>
      <w:bookmarkEnd w:id="207"/>
    </w:p>
    <w:p>
      <w:pPr>
        <w:snapToGrid w:val="0"/>
        <w:spacing w:line="560" w:lineRule="exact"/>
        <w:ind w:firstLine="640" w:firstLineChars="200"/>
        <w:contextualSpacing/>
        <w:jc w:val="both"/>
        <w:rPr>
          <w:rFonts w:ascii="Times New Roman" w:hAnsi="Times New Roman" w:eastAsia="仿宋_GB2312" w:cs="Times New Roman"/>
          <w:sz w:val="32"/>
          <w:szCs w:val="32"/>
        </w:rPr>
      </w:pPr>
      <w:r>
        <w:rPr>
          <w:rFonts w:ascii="Times New Roman" w:eastAsia="仿宋_GB2312" w:cs="Times New Roman"/>
          <w:bCs/>
          <w:sz w:val="32"/>
          <w:szCs w:val="32"/>
        </w:rPr>
        <w:t>坚持</w:t>
      </w:r>
      <w:r>
        <w:rPr>
          <w:rFonts w:ascii="Times New Roman" w:hAnsi="Times New Roman" w:eastAsia="仿宋_GB2312" w:cs="Times New Roman"/>
          <w:bCs/>
          <w:sz w:val="32"/>
          <w:szCs w:val="32"/>
        </w:rPr>
        <w:t>“</w:t>
      </w:r>
      <w:r>
        <w:rPr>
          <w:rFonts w:ascii="Times New Roman" w:eastAsia="仿宋_GB2312" w:cs="Times New Roman"/>
          <w:bCs/>
          <w:sz w:val="32"/>
          <w:szCs w:val="32"/>
        </w:rPr>
        <w:t>绿水青山就是金山银山</w:t>
      </w:r>
      <w:r>
        <w:rPr>
          <w:rFonts w:ascii="Times New Roman" w:hAnsi="Times New Roman" w:eastAsia="仿宋_GB2312" w:cs="Times New Roman"/>
          <w:bCs/>
          <w:sz w:val="32"/>
          <w:szCs w:val="32"/>
        </w:rPr>
        <w:t>”</w:t>
      </w:r>
      <w:r>
        <w:rPr>
          <w:rFonts w:ascii="Times New Roman" w:eastAsia="仿宋_GB2312" w:cs="Times New Roman"/>
          <w:bCs/>
          <w:sz w:val="32"/>
          <w:szCs w:val="32"/>
        </w:rPr>
        <w:t>的发展理念，持续改善生态环境质量，打好升级版污染防治攻坚战，加快构建现代环境治理体系，</w:t>
      </w:r>
      <w:r>
        <w:rPr>
          <w:rFonts w:ascii="Times New Roman" w:hAnsi="仿宋_GB2312" w:eastAsia="仿宋_GB2312" w:cs="Times New Roman"/>
          <w:sz w:val="32"/>
          <w:szCs w:val="32"/>
        </w:rPr>
        <w:t>建立美丽新会，全面形成</w:t>
      </w:r>
      <w:r>
        <w:rPr>
          <w:rFonts w:ascii="Times New Roman" w:hAnsi="Times New Roman" w:eastAsia="仿宋_GB2312" w:cs="Times New Roman"/>
          <w:sz w:val="32"/>
          <w:szCs w:val="32"/>
        </w:rPr>
        <w:t>“</w:t>
      </w:r>
      <w:r>
        <w:rPr>
          <w:rFonts w:ascii="Times New Roman" w:hAnsi="仿宋_GB2312" w:eastAsia="仿宋_GB2312" w:cs="Times New Roman"/>
          <w:sz w:val="32"/>
          <w:szCs w:val="32"/>
        </w:rPr>
        <w:t>生产、生活、生态</w:t>
      </w:r>
      <w:r>
        <w:rPr>
          <w:rFonts w:ascii="Times New Roman" w:hAnsi="Times New Roman" w:eastAsia="仿宋_GB2312" w:cs="Times New Roman"/>
          <w:sz w:val="32"/>
          <w:szCs w:val="32"/>
        </w:rPr>
        <w:t>”</w:t>
      </w:r>
      <w:r>
        <w:rPr>
          <w:rFonts w:ascii="Times New Roman" w:hAnsi="仿宋_GB2312" w:eastAsia="仿宋_GB2312" w:cs="Times New Roman"/>
          <w:sz w:val="32"/>
          <w:szCs w:val="32"/>
        </w:rPr>
        <w:t>和谐共生的绿色发展新格局。</w:t>
      </w:r>
    </w:p>
    <w:p>
      <w:pPr>
        <w:pStyle w:val="36"/>
        <w:adjustRightInd/>
        <w:snapToGrid w:val="0"/>
        <w:spacing w:line="560" w:lineRule="exact"/>
        <w:ind w:leftChars="0" w:firstLine="0"/>
        <w:outlineLvl w:val="1"/>
        <w:rPr>
          <w:rFonts w:ascii="Times New Roman" w:hAnsi="Times New Roman" w:cs="Times New Roman"/>
          <w:szCs w:val="32"/>
        </w:rPr>
      </w:pPr>
      <w:bookmarkStart w:id="208" w:name="_Toc27616"/>
      <w:bookmarkStart w:id="209" w:name="_Toc61946350"/>
      <w:bookmarkStart w:id="210" w:name="_Toc32292"/>
      <w:bookmarkStart w:id="211" w:name="_Toc60738052"/>
      <w:bookmarkStart w:id="212" w:name="_Toc1173"/>
      <w:r>
        <w:rPr>
          <w:rFonts w:ascii="Times New Roman" w:hAnsi="楷体_GB2312" w:cs="Times New Roman"/>
          <w:szCs w:val="32"/>
        </w:rPr>
        <w:t>第一节</w:t>
      </w:r>
      <w:r>
        <w:rPr>
          <w:rFonts w:hint="eastAsia" w:ascii="Times New Roman" w:hAnsi="楷体_GB2312" w:cs="Times New Roman"/>
          <w:szCs w:val="32"/>
          <w:lang w:val="en-US" w:eastAsia="zh-CN"/>
        </w:rPr>
        <w:t xml:space="preserve"> </w:t>
      </w:r>
      <w:r>
        <w:rPr>
          <w:rFonts w:ascii="Times New Roman" w:hAnsi="楷体_GB2312" w:cs="Times New Roman"/>
          <w:szCs w:val="32"/>
        </w:rPr>
        <w:t>加强环境治理和保护</w:t>
      </w:r>
      <w:bookmarkEnd w:id="208"/>
      <w:bookmarkEnd w:id="209"/>
      <w:bookmarkEnd w:id="210"/>
      <w:bookmarkEnd w:id="211"/>
      <w:bookmarkEnd w:id="212"/>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推进多污染物综合防治和环境治理。</w:t>
      </w:r>
      <w:r>
        <w:rPr>
          <w:rFonts w:ascii="Times New Roman" w:hAnsi="仿宋_GB2312" w:eastAsia="仿宋_GB2312" w:cs="Times New Roman"/>
          <w:sz w:val="32"/>
          <w:szCs w:val="32"/>
        </w:rPr>
        <w:t>持续打好水、气、土污染防治三大战役。铁腕推进谭江牛湾国考断面水质攻坚，加快推进司前、大泽、罗坑三个工业集聚区集中式污水处理设施建设，常态化治理工业、农业、生活污染源，确保稳定达到标准。</w:t>
      </w:r>
      <w:r>
        <w:rPr>
          <w:rFonts w:ascii="Times New Roman" w:eastAsia="仿宋_GB2312" w:cs="Times New Roman"/>
          <w:sz w:val="32"/>
          <w:szCs w:val="32"/>
        </w:rPr>
        <w:t>继续落实河长制、湖长制，</w:t>
      </w:r>
      <w:r>
        <w:rPr>
          <w:rFonts w:ascii="Times New Roman" w:hAnsi="仿宋_GB2312" w:eastAsia="仿宋_GB2312" w:cs="Times New Roman"/>
          <w:sz w:val="32"/>
          <w:szCs w:val="32"/>
        </w:rPr>
        <w:t>加强英洲海水道（城区段）、龙湾河（新会段）等黑臭水体治理，实现</w:t>
      </w:r>
      <w:r>
        <w:rPr>
          <w:rFonts w:ascii="Times New Roman" w:hAnsi="Times New Roman" w:eastAsia="仿宋_GB2312" w:cs="Times New Roman"/>
          <w:sz w:val="32"/>
          <w:szCs w:val="32"/>
        </w:rPr>
        <w:t>“</w:t>
      </w:r>
      <w:r>
        <w:rPr>
          <w:rFonts w:ascii="Times New Roman" w:hAnsi="仿宋_GB2312" w:eastAsia="仿宋_GB2312" w:cs="Times New Roman"/>
          <w:sz w:val="32"/>
          <w:szCs w:val="32"/>
        </w:rPr>
        <w:t>长制久清</w:t>
      </w:r>
      <w:r>
        <w:rPr>
          <w:rFonts w:ascii="Times New Roman" w:hAnsi="Times New Roman" w:eastAsia="仿宋_GB2312" w:cs="Times New Roman"/>
          <w:sz w:val="32"/>
          <w:szCs w:val="32"/>
        </w:rPr>
        <w:t>”</w:t>
      </w:r>
      <w:r>
        <w:rPr>
          <w:rFonts w:ascii="Times New Roman" w:hAnsi="仿宋_GB2312" w:eastAsia="仿宋_GB2312" w:cs="Times New Roman"/>
          <w:sz w:val="32"/>
          <w:szCs w:val="32"/>
        </w:rPr>
        <w:t>。推进农业节水改造，推动节水型社会建设。按照污水管网全覆盖、全收集、全处理的要求，加快补齐乡镇污水收集和处理设施短板，继续完善污水处理设施建设。认真落实城镇生活污水厂污泥专项整治工作，污泥无害化处理率达到</w:t>
      </w:r>
      <w:r>
        <w:rPr>
          <w:rFonts w:ascii="Times New Roman" w:hAnsi="Times New Roman" w:eastAsia="仿宋_GB2312" w:cs="Times New Roman"/>
          <w:sz w:val="32"/>
          <w:szCs w:val="32"/>
        </w:rPr>
        <w:t>95%</w:t>
      </w:r>
      <w:r>
        <w:rPr>
          <w:rFonts w:ascii="Times New Roman" w:hAnsi="仿宋_GB2312" w:eastAsia="仿宋_GB2312" w:cs="Times New Roman"/>
          <w:sz w:val="32"/>
          <w:szCs w:val="32"/>
        </w:rPr>
        <w:t>以上。巩固</w:t>
      </w:r>
      <w:r>
        <w:rPr>
          <w:rFonts w:ascii="Times New Roman" w:hAnsi="Times New Roman" w:eastAsia="仿宋_GB2312" w:cs="Times New Roman"/>
          <w:sz w:val="32"/>
          <w:szCs w:val="32"/>
        </w:rPr>
        <w:t>“</w:t>
      </w:r>
      <w:r>
        <w:rPr>
          <w:rFonts w:ascii="Times New Roman" w:hAnsi="仿宋_GB2312" w:eastAsia="仿宋_GB2312" w:cs="Times New Roman"/>
          <w:sz w:val="32"/>
          <w:szCs w:val="32"/>
        </w:rPr>
        <w:t>散乱污</w:t>
      </w:r>
      <w:r>
        <w:rPr>
          <w:rFonts w:ascii="Times New Roman" w:hAnsi="Times New Roman" w:eastAsia="仿宋_GB2312" w:cs="Times New Roman"/>
          <w:sz w:val="32"/>
          <w:szCs w:val="32"/>
        </w:rPr>
        <w:t>”</w:t>
      </w:r>
      <w:r>
        <w:rPr>
          <w:rFonts w:ascii="Times New Roman" w:hAnsi="仿宋_GB2312" w:eastAsia="仿宋_GB2312" w:cs="Times New Roman"/>
          <w:sz w:val="32"/>
          <w:szCs w:val="32"/>
        </w:rPr>
        <w:t>企业整治成效，持续开展臭氧和氨氧化物综合治理，推进空气质量稳定好转，确保全年空气质量优良天数比例达到上级考核要求。加快推进固废综合处理中心、崖门金属污泥资源化利用等项目建设，建立完善固体废物监管体系，实现全过程监管，严厉打击非法转移倾倒固体废物行为。</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构建现代环境治理体系。</w:t>
      </w:r>
      <w:r>
        <w:rPr>
          <w:rFonts w:ascii="Times New Roman" w:hAnsi="仿宋_GB2312" w:eastAsia="仿宋_GB2312" w:cs="Times New Roman"/>
          <w:sz w:val="32"/>
          <w:szCs w:val="32"/>
        </w:rPr>
        <w:t>建立完善自然生态空间用途管制体系，落实以排污许可制为核心的固定污染源环境监管制度。继续加大网格化管理力度，保持环境监管执法高压态势。完善环境监测站标准化建设，提升常规性、应急性和专项环境监测能力。完善生态环境保护市场化机制，引导社会资本投入生态环保建设。</w:t>
      </w:r>
    </w:p>
    <w:p>
      <w:pPr>
        <w:spacing w:line="560" w:lineRule="exact"/>
        <w:ind w:firstLine="643" w:firstLineChars="200"/>
        <w:jc w:val="both"/>
        <w:rPr>
          <w:rFonts w:ascii="Times New Roman" w:hAnsi="Times New Roman" w:eastAsia="仿宋_GB2312" w:cs="Times New Roman"/>
          <w:sz w:val="32"/>
        </w:rPr>
      </w:pPr>
      <w:r>
        <w:rPr>
          <w:rFonts w:ascii="Times New Roman" w:hAnsi="仿宋_GB2312" w:eastAsia="仿宋_GB2312" w:cs="Times New Roman"/>
          <w:b/>
          <w:sz w:val="32"/>
          <w:szCs w:val="32"/>
        </w:rPr>
        <w:t>建设美丽新会。</w:t>
      </w:r>
      <w:bookmarkStart w:id="213" w:name="_Toc60738053"/>
      <w:r>
        <w:rPr>
          <w:rFonts w:ascii="Times New Roman" w:hAnsi="仿宋_GB2312" w:eastAsia="仿宋_GB2312" w:cs="Times New Roman"/>
          <w:sz w:val="32"/>
          <w:szCs w:val="32"/>
        </w:rPr>
        <w:t>高质量建设江门水道新会段、西江环大鳌岛段、潭江会城城区段、小鸟天堂段碧道工程，构建水资源保障、水安全提升、水环境改善、水生态保护与修复、景观与游憩系统，共建生态活力滨水经济带。建立</w:t>
      </w:r>
      <w:r>
        <w:rPr>
          <w:rFonts w:ascii="Times New Roman" w:hAnsi="Times New Roman" w:eastAsia="仿宋_GB2312" w:cs="Times New Roman"/>
          <w:sz w:val="32"/>
          <w:szCs w:val="32"/>
        </w:rPr>
        <w:t>“</w:t>
      </w:r>
      <w:r>
        <w:rPr>
          <w:rFonts w:ascii="Times New Roman" w:hAnsi="仿宋_GB2312" w:eastAsia="仿宋_GB2312" w:cs="Times New Roman"/>
          <w:sz w:val="32"/>
          <w:szCs w:val="32"/>
        </w:rPr>
        <w:t>三清三拆三整治</w:t>
      </w:r>
      <w:r>
        <w:rPr>
          <w:rFonts w:ascii="Times New Roman" w:hAnsi="Times New Roman" w:eastAsia="仿宋_GB2312" w:cs="Times New Roman"/>
          <w:sz w:val="32"/>
          <w:szCs w:val="32"/>
        </w:rPr>
        <w:t>”</w:t>
      </w:r>
      <w:r>
        <w:rPr>
          <w:rFonts w:ascii="Times New Roman" w:hAnsi="仿宋_GB2312" w:eastAsia="仿宋_GB2312" w:cs="Times New Roman"/>
          <w:sz w:val="32"/>
          <w:szCs w:val="32"/>
        </w:rPr>
        <w:t>常态化管理机制，狠抓各镇主干道环境卫生提标升级。构建绿色生活空间，加强圭峰山森林公园生态景观保护。推进公园城市、森林城市建设行动，提高森林覆盖率和生态系统功能。</w:t>
      </w:r>
      <w:bookmarkEnd w:id="213"/>
    </w:p>
    <w:p>
      <w:pPr>
        <w:pStyle w:val="36"/>
        <w:adjustRightInd/>
        <w:snapToGrid w:val="0"/>
        <w:spacing w:line="560" w:lineRule="exact"/>
        <w:ind w:leftChars="0" w:firstLine="0"/>
        <w:outlineLvl w:val="1"/>
        <w:rPr>
          <w:rFonts w:ascii="Times New Roman" w:hAnsi="Times New Roman" w:cs="Times New Roman"/>
          <w:szCs w:val="32"/>
        </w:rPr>
      </w:pPr>
      <w:bookmarkStart w:id="214" w:name="_Toc23322"/>
      <w:bookmarkStart w:id="215" w:name="_Toc10797"/>
      <w:bookmarkStart w:id="216" w:name="_Toc60738054"/>
      <w:bookmarkStart w:id="217" w:name="_Toc31718"/>
      <w:bookmarkStart w:id="218" w:name="_Toc61946351"/>
      <w:r>
        <w:rPr>
          <w:rFonts w:ascii="Times New Roman" w:hAnsi="楷体_GB2312" w:cs="Times New Roman"/>
          <w:szCs w:val="32"/>
        </w:rPr>
        <w:t>第二节</w:t>
      </w:r>
      <w:r>
        <w:rPr>
          <w:rFonts w:hint="eastAsia" w:ascii="Times New Roman" w:hAnsi="楷体_GB2312" w:cs="Times New Roman"/>
          <w:szCs w:val="32"/>
          <w:lang w:val="en-US" w:eastAsia="zh-CN"/>
        </w:rPr>
        <w:t xml:space="preserve"> </w:t>
      </w:r>
      <w:r>
        <w:rPr>
          <w:rFonts w:ascii="Times New Roman" w:hAnsi="楷体_GB2312" w:cs="Times New Roman"/>
          <w:szCs w:val="32"/>
        </w:rPr>
        <w:t>着力推进绿色低碳发展</w:t>
      </w:r>
      <w:bookmarkEnd w:id="214"/>
      <w:bookmarkEnd w:id="215"/>
      <w:bookmarkEnd w:id="216"/>
      <w:bookmarkEnd w:id="217"/>
      <w:bookmarkEnd w:id="218"/>
    </w:p>
    <w:p>
      <w:pPr>
        <w:spacing w:line="560" w:lineRule="exact"/>
        <w:ind w:firstLine="643"/>
        <w:jc w:val="both"/>
        <w:rPr>
          <w:rFonts w:ascii="Times New Roman" w:hAnsi="Times New Roman" w:eastAsia="仿宋_GB2312" w:cs="Times New Roman"/>
          <w:b/>
          <w:bCs/>
          <w:sz w:val="32"/>
          <w:szCs w:val="32"/>
          <w:shd w:val="clear" w:color="auto" w:fill="FFFFFF"/>
        </w:rPr>
      </w:pPr>
      <w:r>
        <w:rPr>
          <w:rFonts w:ascii="Times New Roman" w:hAnsi="仿宋_GB2312" w:eastAsia="仿宋_GB2312" w:cs="Times New Roman"/>
          <w:b/>
          <w:sz w:val="32"/>
          <w:szCs w:val="32"/>
        </w:rPr>
        <w:t>推动资源节约和高效利用。</w:t>
      </w:r>
      <w:r>
        <w:rPr>
          <w:rFonts w:ascii="Times New Roman" w:hAnsi="仿宋_GB2312" w:eastAsia="仿宋_GB2312" w:cs="Times New Roman"/>
          <w:sz w:val="32"/>
          <w:szCs w:val="32"/>
        </w:rPr>
        <w:t>树立节约集约循环利用的资源观，建设节约型社会，提高水、土地、矿产等资源利用效率和效益。推进重点领域、重点用能单位节能降耗。大力发展循环经济，推行企业循环式生产、产业循环式组合、园区循环化改造。推进传统制造业绿色化改造，鼓励绿色清洁生产，实施绿色制造标准化提升工程，积极打造绿色建筑。对主城区现有高污染高排放生产企业实行淘汰关停、搬迁入园和保留监管。扶持环保设备（产品）生产与经营、资源综合利用、环境服务等环保产业</w:t>
      </w:r>
      <w:r>
        <w:rPr>
          <w:rFonts w:hint="eastAsia" w:ascii="Times New Roman" w:hAnsi="仿宋_GB2312" w:eastAsia="仿宋_GB2312" w:cs="Times New Roman"/>
          <w:sz w:val="32"/>
          <w:szCs w:val="32"/>
        </w:rPr>
        <w:t>发展</w:t>
      </w:r>
      <w:r>
        <w:rPr>
          <w:rFonts w:ascii="Times New Roman" w:hAnsi="仿宋_GB2312" w:eastAsia="仿宋_GB2312" w:cs="Times New Roman"/>
          <w:sz w:val="32"/>
          <w:szCs w:val="32"/>
        </w:rPr>
        <w:t>，为构建绿色低碳发展方式提供技术保障。大力推动粤澳（江门）产业合作示范区和港澳对接，依托崖门环保产业园，结合周边循环经济项目，力争打造国际环保产业集聚和技术展示区。</w:t>
      </w:r>
      <w:r>
        <w:rPr>
          <w:rFonts w:ascii="Times New Roman" w:eastAsia="仿宋_GB2312" w:cs="Times New Roman"/>
          <w:sz w:val="32"/>
          <w:szCs w:val="32"/>
        </w:rPr>
        <w:t>扎实推进能耗</w:t>
      </w:r>
      <w:r>
        <w:rPr>
          <w:rFonts w:ascii="Times New Roman" w:hAnsi="Times New Roman" w:eastAsia="仿宋_GB2312" w:cs="Times New Roman"/>
          <w:sz w:val="32"/>
          <w:szCs w:val="32"/>
        </w:rPr>
        <w:t>“</w:t>
      </w:r>
      <w:r>
        <w:rPr>
          <w:rFonts w:ascii="Times New Roman" w:eastAsia="仿宋_GB2312" w:cs="Times New Roman"/>
          <w:sz w:val="32"/>
          <w:szCs w:val="32"/>
        </w:rPr>
        <w:t>双控</w:t>
      </w:r>
      <w:r>
        <w:rPr>
          <w:rFonts w:ascii="Times New Roman" w:hAnsi="Times New Roman" w:eastAsia="仿宋_GB2312" w:cs="Times New Roman"/>
          <w:sz w:val="32"/>
          <w:szCs w:val="32"/>
        </w:rPr>
        <w:t>”</w:t>
      </w:r>
      <w:r>
        <w:rPr>
          <w:rFonts w:ascii="Times New Roman" w:eastAsia="仿宋_GB2312" w:cs="Times New Roman"/>
          <w:sz w:val="32"/>
          <w:szCs w:val="32"/>
        </w:rPr>
        <w:t>管理，推动光伏发电等可再生能源发展，构建清洁低碳新体系。</w:t>
      </w:r>
    </w:p>
    <w:p>
      <w:pPr>
        <w:spacing w:line="560" w:lineRule="exact"/>
        <w:ind w:firstLine="643" w:firstLineChars="200"/>
        <w:jc w:val="both"/>
        <w:rPr>
          <w:rFonts w:ascii="Times New Roman" w:hAnsi="Times New Roman" w:eastAsia="仿宋_GB2312" w:cs="Times New Roman"/>
          <w:bCs/>
          <w:sz w:val="32"/>
          <w:szCs w:val="32"/>
        </w:rPr>
      </w:pPr>
      <w:r>
        <w:rPr>
          <w:rFonts w:ascii="Times New Roman" w:hAnsi="仿宋_GB2312" w:eastAsia="仿宋_GB2312" w:cs="Times New Roman"/>
          <w:b/>
          <w:sz w:val="32"/>
          <w:szCs w:val="32"/>
        </w:rPr>
        <w:t>倡导简约适度绿色低碳生活方式。</w:t>
      </w:r>
      <w:r>
        <w:rPr>
          <w:rFonts w:hint="eastAsia" w:ascii="Times New Roman" w:hAnsi="仿宋_GB2312" w:eastAsia="仿宋_GB2312" w:cs="Times New Roman"/>
          <w:b w:val="0"/>
          <w:bCs/>
          <w:sz w:val="32"/>
          <w:szCs w:val="32"/>
          <w:lang w:eastAsia="zh-CN"/>
        </w:rPr>
        <w:t>推进城市碳排放精细化管理。加强生态环境保护法律普及推广，</w:t>
      </w:r>
      <w:r>
        <w:rPr>
          <w:rFonts w:ascii="Times New Roman" w:hAnsi="仿宋_GB2312" w:eastAsia="仿宋_GB2312" w:cs="Times New Roman"/>
          <w:b w:val="0"/>
          <w:bCs/>
          <w:sz w:val="32"/>
          <w:szCs w:val="32"/>
        </w:rPr>
        <w:t>推动个人和家庭践行绿色低碳生活消</w:t>
      </w:r>
      <w:r>
        <w:rPr>
          <w:rFonts w:ascii="Times New Roman" w:hAnsi="仿宋_GB2312" w:eastAsia="仿宋_GB2312" w:cs="Times New Roman"/>
          <w:bCs/>
          <w:sz w:val="32"/>
          <w:szCs w:val="32"/>
        </w:rPr>
        <w:t>费理念，力戒奢侈浪费。倡导节约粮食，坚决制止餐饮浪费行为。鼓励能效标识产品、低碳认证产品等绿色低碳产品的推广与应用，提高生产比例和市场占有率。推行绿色出行，稳步发展共乘交通，</w:t>
      </w:r>
      <w:r>
        <w:rPr>
          <w:rFonts w:hint="eastAsia" w:ascii="Times New Roman" w:hAnsi="仿宋_GB2312" w:eastAsia="仿宋_GB2312" w:cs="Times New Roman"/>
          <w:bCs/>
          <w:sz w:val="32"/>
          <w:szCs w:val="32"/>
          <w:lang w:eastAsia="zh-CN"/>
        </w:rPr>
        <w:t>加快新能源汽车推广应用，</w:t>
      </w:r>
      <w:r>
        <w:rPr>
          <w:rFonts w:ascii="Times New Roman" w:hAnsi="仿宋_GB2312" w:eastAsia="仿宋_GB2312" w:cs="Times New Roman"/>
          <w:bCs/>
          <w:sz w:val="32"/>
          <w:szCs w:val="32"/>
        </w:rPr>
        <w:t>鼓励自行车等绿色出行。鼓励引入低碳设计理念和技术，建设和推广绿色低碳社区。加强生态文明和生态价值观宣传教育，增强全民节约意识、环保意识、生态意识，在全社会牢固树立绿色低碳理念。全面铺开城乡垃圾分类处置，推动市民树立环保新理念和养成良好行为习惯。</w:t>
      </w:r>
    </w:p>
    <w:p>
      <w:pPr>
        <w:pStyle w:val="2"/>
        <w:keepNext w:val="0"/>
        <w:keepLines w:val="0"/>
        <w:widowControl/>
        <w:adjustRightInd/>
        <w:spacing w:beforeLines="50" w:afterLines="50" w:line="560" w:lineRule="exact"/>
        <w:rPr>
          <w:rFonts w:ascii="Times New Roman" w:hAnsi="Times New Roman"/>
          <w:b w:val="0"/>
          <w:bCs/>
          <w:kern w:val="36"/>
          <w:szCs w:val="32"/>
          <w:shd w:val="clear" w:color="auto" w:fill="FFFFFF"/>
        </w:rPr>
      </w:pPr>
      <w:r>
        <w:rPr>
          <w:rFonts w:ascii="Times New Roman" w:hAnsi="Times New Roman"/>
          <w:szCs w:val="32"/>
        </w:rPr>
        <w:br w:type="page"/>
      </w:r>
      <w:bookmarkStart w:id="219" w:name="_Toc14428"/>
      <w:bookmarkStart w:id="220" w:name="_Toc31767"/>
      <w:bookmarkStart w:id="221" w:name="_Toc60738055"/>
      <w:bookmarkStart w:id="222" w:name="_Toc32165"/>
      <w:bookmarkStart w:id="223" w:name="_Toc61946352"/>
      <w:r>
        <w:rPr>
          <w:rFonts w:ascii="Times New Roman" w:hAnsi="黑体"/>
          <w:b w:val="0"/>
          <w:bCs/>
          <w:kern w:val="36"/>
          <w:szCs w:val="32"/>
          <w:shd w:val="clear" w:color="auto" w:fill="FFFFFF"/>
        </w:rPr>
        <w:t>第十一章</w:t>
      </w:r>
      <w:r>
        <w:rPr>
          <w:rFonts w:hint="eastAsia" w:ascii="Times New Roman" w:hAnsi="黑体"/>
          <w:b w:val="0"/>
          <w:bCs/>
          <w:kern w:val="36"/>
          <w:szCs w:val="32"/>
          <w:shd w:val="clear" w:color="auto" w:fill="FFFFFF"/>
          <w:lang w:val="en-US" w:eastAsia="zh-CN"/>
        </w:rPr>
        <w:t xml:space="preserve"> </w:t>
      </w:r>
      <w:r>
        <w:rPr>
          <w:rFonts w:ascii="Times New Roman" w:hAnsi="黑体"/>
          <w:b w:val="0"/>
          <w:bCs/>
          <w:kern w:val="36"/>
          <w:szCs w:val="32"/>
          <w:shd w:val="clear" w:color="auto" w:fill="FFFFFF"/>
        </w:rPr>
        <w:t>打造文化强区</w:t>
      </w:r>
      <w:bookmarkEnd w:id="219"/>
      <w:bookmarkEnd w:id="220"/>
      <w:bookmarkEnd w:id="221"/>
      <w:bookmarkEnd w:id="222"/>
      <w:r>
        <w:rPr>
          <w:rFonts w:hint="eastAsia" w:ascii="Times New Roman" w:hAnsi="黑体"/>
          <w:b w:val="0"/>
          <w:bCs/>
          <w:kern w:val="36"/>
          <w:szCs w:val="32"/>
          <w:shd w:val="clear" w:color="auto" w:fill="FFFFFF"/>
          <w:lang w:val="en-US" w:eastAsia="zh-CN"/>
        </w:rPr>
        <w:t xml:space="preserve"> </w:t>
      </w:r>
      <w:r>
        <w:rPr>
          <w:rFonts w:ascii="Times New Roman" w:hAnsi="黑体"/>
          <w:b w:val="0"/>
          <w:bCs/>
          <w:kern w:val="36"/>
          <w:szCs w:val="32"/>
          <w:shd w:val="clear" w:color="auto" w:fill="FFFFFF"/>
        </w:rPr>
        <w:t>提升历史文化名城影响力</w:t>
      </w:r>
      <w:bookmarkEnd w:id="223"/>
    </w:p>
    <w:bookmarkEnd w:id="185"/>
    <w:p>
      <w:pPr>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坚定文化自信，推动物质文明和精神文明协调发展，在高质量发展中提高文化软实力和历史文化名城影响力，为现代化建设提供强大精神支撑。</w:t>
      </w:r>
    </w:p>
    <w:p>
      <w:pPr>
        <w:pStyle w:val="36"/>
        <w:adjustRightInd/>
        <w:snapToGrid w:val="0"/>
        <w:spacing w:line="560" w:lineRule="exact"/>
        <w:ind w:leftChars="0" w:firstLine="0"/>
        <w:outlineLvl w:val="1"/>
        <w:rPr>
          <w:rFonts w:ascii="Times New Roman" w:hAnsi="Times New Roman" w:cs="Times New Roman"/>
          <w:szCs w:val="32"/>
        </w:rPr>
      </w:pPr>
      <w:bookmarkStart w:id="224" w:name="_Toc29675"/>
      <w:bookmarkStart w:id="225" w:name="_Toc4592"/>
      <w:bookmarkStart w:id="226" w:name="_Toc15490"/>
      <w:bookmarkStart w:id="227" w:name="_Toc6072"/>
      <w:bookmarkStart w:id="228" w:name="_Toc61946353"/>
      <w:bookmarkStart w:id="229" w:name="_Toc60738056"/>
      <w:r>
        <w:rPr>
          <w:rFonts w:ascii="Times New Roman" w:hAnsi="楷体_GB2312" w:cs="Times New Roman"/>
          <w:szCs w:val="32"/>
        </w:rPr>
        <w:t>第一节</w:t>
      </w:r>
      <w:bookmarkEnd w:id="224"/>
      <w:r>
        <w:rPr>
          <w:rFonts w:hint="eastAsia" w:ascii="Times New Roman" w:hAnsi="楷体_GB2312" w:cs="Times New Roman"/>
          <w:szCs w:val="32"/>
          <w:lang w:val="en-US" w:eastAsia="zh-CN"/>
        </w:rPr>
        <w:t xml:space="preserve"> </w:t>
      </w:r>
      <w:r>
        <w:rPr>
          <w:rFonts w:ascii="Times New Roman" w:hAnsi="楷体_GB2312" w:cs="Times New Roman"/>
          <w:szCs w:val="32"/>
        </w:rPr>
        <w:t>提高社会文明程度</w:t>
      </w:r>
      <w:bookmarkEnd w:id="225"/>
      <w:bookmarkEnd w:id="226"/>
      <w:bookmarkEnd w:id="227"/>
      <w:bookmarkEnd w:id="228"/>
      <w:bookmarkEnd w:id="229"/>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培育和弘扬社会主义核心价值观。</w:t>
      </w:r>
      <w:r>
        <w:rPr>
          <w:rFonts w:ascii="Times New Roman" w:hAnsi="仿宋_GB2312" w:eastAsia="仿宋_GB2312" w:cs="Times New Roman"/>
          <w:sz w:val="32"/>
          <w:szCs w:val="32"/>
        </w:rPr>
        <w:t>抓好精神文明常态化、立体化、全覆盖宣传，把精神文明建设贯穿改革开放和现代化全过程、渗透社会生活各方面。以习近平新时代中国特色社会主义思想为根本遵循，大力弘扬社会主义核心价值观，注重落细落小落实，使之成为百姓日用而不觉的行为准则。加强爱国主义、集体主义、社会主义教育，强化思想道德建设，继承和发扬中华优秀传统文化和传统美德，提高社会文明程度。加快构建网上网下一体的主流舆论格局，提高新闻舆论传播力、引导力、影响力、公信力，巩固壮大主流思想舆论。提倡艰苦奋斗、勤俭节约，开展以劳动创造幸福为主题的宣传教育。</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完善精神文明实践体系。</w:t>
      </w:r>
      <w:r>
        <w:rPr>
          <w:rFonts w:ascii="Times New Roman" w:hAnsi="仿宋_GB2312" w:eastAsia="仿宋_GB2312" w:cs="Times New Roman"/>
          <w:sz w:val="32"/>
          <w:szCs w:val="32"/>
        </w:rPr>
        <w:t>持续深化全国文明城市创建，全面提升市民素质，完善公共环境、公共秩序精细化管理长效机制。持续开展文明镇村、文明行业（单位、窗口）、文明社区等精神文明创建活动，树立现代文明新形象。全力推进新时代文明实践中心省级试点，构建区、镇、村三级文明实践体系。充分利用公共服务资源，打造理论宣讲平台、文化教育服务平台、科普平台等，因地制宜开展文明实践活动。优化志愿服务体系，动员广大群众参与志愿服务关爱活动。</w:t>
      </w:r>
    </w:p>
    <w:p>
      <w:pPr>
        <w:pStyle w:val="36"/>
        <w:adjustRightInd/>
        <w:snapToGrid w:val="0"/>
        <w:spacing w:line="560" w:lineRule="exact"/>
        <w:ind w:leftChars="0" w:firstLine="0"/>
        <w:outlineLvl w:val="1"/>
        <w:rPr>
          <w:rFonts w:ascii="Times New Roman" w:hAnsi="Times New Roman" w:cs="Times New Roman"/>
          <w:szCs w:val="32"/>
        </w:rPr>
      </w:pPr>
      <w:bookmarkStart w:id="230" w:name="_Toc7672"/>
      <w:bookmarkStart w:id="231" w:name="_Toc60738057"/>
      <w:bookmarkStart w:id="232" w:name="_Toc9480"/>
      <w:bookmarkStart w:id="233" w:name="_Toc10427"/>
      <w:bookmarkStart w:id="234" w:name="_Toc61946354"/>
      <w:bookmarkStart w:id="235" w:name="_Toc22926"/>
      <w:r>
        <w:rPr>
          <w:rFonts w:ascii="Times New Roman" w:hAnsi="楷体_GB2312" w:cs="Times New Roman"/>
          <w:szCs w:val="32"/>
        </w:rPr>
        <w:t>第二节</w:t>
      </w:r>
      <w:r>
        <w:rPr>
          <w:rFonts w:hint="eastAsia" w:ascii="Times New Roman" w:hAnsi="楷体_GB2312" w:cs="Times New Roman"/>
          <w:szCs w:val="32"/>
          <w:lang w:val="en-US" w:eastAsia="zh-CN"/>
        </w:rPr>
        <w:t xml:space="preserve"> </w:t>
      </w:r>
      <w:r>
        <w:rPr>
          <w:rFonts w:ascii="Times New Roman" w:hAnsi="楷体_GB2312" w:cs="Times New Roman"/>
          <w:szCs w:val="32"/>
        </w:rPr>
        <w:t>大力发展文化事业</w:t>
      </w:r>
      <w:bookmarkEnd w:id="230"/>
      <w:bookmarkEnd w:id="231"/>
      <w:bookmarkEnd w:id="232"/>
      <w:bookmarkEnd w:id="233"/>
      <w:bookmarkEnd w:id="234"/>
      <w:bookmarkEnd w:id="235"/>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完善公共文化服务体系。</w:t>
      </w:r>
      <w:r>
        <w:rPr>
          <w:rFonts w:ascii="Times New Roman" w:hAnsi="仿宋_GB2312" w:eastAsia="仿宋_GB2312" w:cs="Times New Roman"/>
          <w:sz w:val="32"/>
          <w:szCs w:val="32"/>
        </w:rPr>
        <w:t>大力发展公共文化事业，进一步提升公共文化服务均等化水平。促进公共文化设施现代化和标准化建设，加快形成城区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十分钟文化圈</w:t>
      </w:r>
      <w:r>
        <w:rPr>
          <w:rFonts w:ascii="Times New Roman" w:hAnsi="Times New Roman" w:eastAsia="仿宋_GB2312" w:cs="Times New Roman"/>
          <w:sz w:val="32"/>
          <w:szCs w:val="32"/>
        </w:rPr>
        <w:t>”</w:t>
      </w:r>
      <w:r>
        <w:rPr>
          <w:rFonts w:ascii="Times New Roman" w:hAnsi="仿宋_GB2312" w:eastAsia="仿宋_GB2312" w:cs="Times New Roman"/>
          <w:sz w:val="32"/>
          <w:szCs w:val="32"/>
        </w:rPr>
        <w:t>和乡镇</w:t>
      </w:r>
      <w:r>
        <w:rPr>
          <w:rFonts w:ascii="Times New Roman" w:hAnsi="Times New Roman" w:eastAsia="仿宋_GB2312" w:cs="Times New Roman"/>
          <w:sz w:val="32"/>
          <w:szCs w:val="32"/>
        </w:rPr>
        <w:t>“</w:t>
      </w:r>
      <w:r>
        <w:rPr>
          <w:rFonts w:ascii="Times New Roman" w:hAnsi="仿宋_GB2312" w:eastAsia="仿宋_GB2312" w:cs="Times New Roman"/>
          <w:sz w:val="32"/>
          <w:szCs w:val="32"/>
        </w:rPr>
        <w:t>十里文化圈</w:t>
      </w:r>
      <w:r>
        <w:rPr>
          <w:rFonts w:ascii="Times New Roman" w:hAnsi="Times New Roman" w:eastAsia="仿宋_GB2312" w:cs="Times New Roman"/>
          <w:sz w:val="32"/>
          <w:szCs w:val="32"/>
        </w:rPr>
        <w:t>”</w:t>
      </w:r>
      <w:r>
        <w:rPr>
          <w:rFonts w:ascii="Times New Roman" w:hAnsi="仿宋_GB2312" w:eastAsia="仿宋_GB2312" w:cs="Times New Roman"/>
          <w:sz w:val="32"/>
          <w:szCs w:val="32"/>
        </w:rPr>
        <w:t>。加强公共文化服务智慧化建设，加快推进图书馆、美术馆、文化馆、博物馆等公共文化机构数字化建设，加强公共文化大数据采集、存储和分析处理，推进城乡公共数字文化服务资源和平台共建共享。</w:t>
      </w:r>
      <w:r>
        <w:rPr>
          <w:rFonts w:hint="eastAsia" w:ascii="Times New Roman" w:hAnsi="仿宋_GB2312" w:eastAsia="仿宋_GB2312" w:cs="Times New Roman"/>
          <w:sz w:val="32"/>
          <w:szCs w:val="32"/>
        </w:rPr>
        <w:t>发挥新会体育馆等场馆作用，举办大型比赛、高端商业演出等活动。</w:t>
      </w:r>
      <w:r>
        <w:rPr>
          <w:rFonts w:ascii="Times New Roman" w:hAnsi="仿宋_GB2312" w:eastAsia="仿宋_GB2312" w:cs="Times New Roman"/>
          <w:sz w:val="32"/>
          <w:szCs w:val="32"/>
        </w:rPr>
        <w:t>探索“菜单式”“订单式”个性化服务供给模式，办好群众文化艺术活动，构建多形式、广覆盖的文化活动体系。</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实施文化精品锻造工程。</w:t>
      </w:r>
      <w:r>
        <w:rPr>
          <w:rFonts w:ascii="Times New Roman" w:hAnsi="仿宋_GB2312" w:eastAsia="仿宋_GB2312" w:cs="Times New Roman"/>
          <w:sz w:val="32"/>
          <w:szCs w:val="32"/>
        </w:rPr>
        <w:t>鼓励本土文艺精品创作，依托梁启超、张其光等名人题材，崖门古战场、小鸟天堂等人文自然题材，以及新会葵艺、蔡李佛拳、新会陈皮等特色品牌文化题材，推出一批兼具时代精神和侨乡文化内涵的研究成果和文艺精品。建强用好融媒体中心，推进媒体深度融合。实施</w:t>
      </w:r>
      <w:r>
        <w:rPr>
          <w:rFonts w:ascii="Times New Roman" w:hAnsi="Times New Roman" w:eastAsia="仿宋_GB2312" w:cs="Times New Roman"/>
          <w:sz w:val="32"/>
          <w:szCs w:val="32"/>
        </w:rPr>
        <w:t>“</w:t>
      </w:r>
      <w:r>
        <w:rPr>
          <w:rFonts w:ascii="Times New Roman" w:hAnsi="仿宋_GB2312" w:eastAsia="仿宋_GB2312" w:cs="Times New Roman"/>
          <w:sz w:val="32"/>
          <w:szCs w:val="32"/>
        </w:rPr>
        <w:t>文艺精品激励工程</w:t>
      </w:r>
      <w:r>
        <w:rPr>
          <w:rFonts w:ascii="Times New Roman" w:hAnsi="Times New Roman" w:eastAsia="仿宋_GB2312" w:cs="Times New Roman"/>
          <w:sz w:val="32"/>
          <w:szCs w:val="32"/>
        </w:rPr>
        <w:t>”</w:t>
      </w:r>
      <w:r>
        <w:rPr>
          <w:rFonts w:ascii="Times New Roman" w:hAnsi="仿宋_GB2312" w:eastAsia="仿宋_GB2312" w:cs="Times New Roman"/>
          <w:sz w:val="32"/>
          <w:szCs w:val="32"/>
        </w:rPr>
        <w:t>，加大对影视创作、舞台艺术、音乐美术等重点领域的精品创作项目扶持力度。做好文艺精品的展示推介和评选表彰工作。</w:t>
      </w:r>
    </w:p>
    <w:p>
      <w:pPr>
        <w:spacing w:line="560" w:lineRule="exact"/>
        <w:ind w:firstLine="643" w:firstLineChars="200"/>
        <w:jc w:val="both"/>
        <w:rPr>
          <w:rFonts w:ascii="Times New Roman" w:hAnsi="Times New Roman" w:eastAsia="仿宋_GB2312" w:cs="Times New Roman"/>
          <w:sz w:val="32"/>
        </w:rPr>
      </w:pPr>
      <w:r>
        <w:rPr>
          <w:rFonts w:ascii="Times New Roman" w:hAnsi="仿宋_GB2312" w:eastAsia="仿宋_GB2312" w:cs="Times New Roman"/>
          <w:b/>
          <w:sz w:val="32"/>
          <w:szCs w:val="32"/>
        </w:rPr>
        <w:t>加强文化遗产保护。</w:t>
      </w:r>
      <w:bookmarkStart w:id="236" w:name="_Toc60738058"/>
      <w:bookmarkStart w:id="237" w:name="_Toc22174"/>
      <w:r>
        <w:rPr>
          <w:rFonts w:ascii="Times New Roman" w:hAnsi="仿宋_GB2312" w:eastAsia="仿宋_GB2312" w:cs="Times New Roman"/>
          <w:sz w:val="32"/>
          <w:szCs w:val="32"/>
        </w:rPr>
        <w:t>进一步加强对新会学宫、新会书院、石戏台等历史文物保护，打造具有葵乡文化特色的历史建筑街区。推动老城区发展历史文化业态，加强与蓬江历史街区和江海工业遗迹的联动融合，传承千年古郡文脉，逐步焕发古城活力。强化载体建设，做好非物质文化遗产项目档案建立和管理。培育壮大非遗项目代表性传承人队伍，争取到</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所有市级非遗项目都有区级（及以上）代表性传承人，增强传承能力。拓展非物质文化遗产价值，打造主体文化活动，积极开发非遗文创产品，使之成为新会文化名片。推动非遗进校园，提高学生对非物质文化遗产的认知能力和保护意识。</w:t>
      </w:r>
      <w:bookmarkEnd w:id="236"/>
      <w:bookmarkEnd w:id="237"/>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大力发展体育事业。</w:t>
      </w:r>
      <w:r>
        <w:rPr>
          <w:rFonts w:ascii="Times New Roman" w:hAnsi="仿宋_GB2312" w:eastAsia="仿宋_GB2312" w:cs="Times New Roman"/>
          <w:sz w:val="32"/>
          <w:szCs w:val="32"/>
        </w:rPr>
        <w:t>完善各类群众体育设施，着力构建区、镇（街）、村（社区）三级公共体育场地设施网络，进一步完善城乡</w:t>
      </w:r>
      <w:r>
        <w:rPr>
          <w:rFonts w:ascii="Times New Roman" w:hAnsi="Times New Roman" w:eastAsia="仿宋_GB2312" w:cs="Times New Roman"/>
          <w:sz w:val="32"/>
          <w:szCs w:val="32"/>
        </w:rPr>
        <w:t>15</w:t>
      </w:r>
      <w:r>
        <w:rPr>
          <w:rFonts w:ascii="Times New Roman" w:hAnsi="仿宋_GB2312" w:eastAsia="仿宋_GB2312" w:cs="Times New Roman"/>
          <w:sz w:val="32"/>
          <w:szCs w:val="32"/>
        </w:rPr>
        <w:t>分钟健身圈。</w:t>
      </w:r>
      <w:r>
        <w:rPr>
          <w:rFonts w:hint="eastAsia" w:ascii="Times New Roman" w:hAnsi="仿宋_GB2312" w:eastAsia="仿宋_GB2312" w:cs="Times New Roman"/>
          <w:sz w:val="32"/>
          <w:szCs w:val="32"/>
          <w:lang w:eastAsia="zh-CN"/>
        </w:rPr>
        <w:t>完成珠西</w:t>
      </w:r>
      <w:r>
        <w:rPr>
          <w:rFonts w:ascii="Times New Roman" w:hAnsi="仿宋_GB2312" w:eastAsia="仿宋_GB2312" w:cs="Times New Roman"/>
          <w:sz w:val="32"/>
          <w:szCs w:val="32"/>
        </w:rPr>
        <w:t>枢纽新城体育运动公园建设，升级改造圭峰山文体公园。鼓励社会力量以投资、建设场馆、项目运作等方式参与公共文化服务提供。培育和发展民间文艺团队等公共文化服务领域社会组织。丰富和完善全民健身活动体系，分层分类引导运动项目发展，鼓励开发适合不同人群、不同地域和不同行业特点的特色运动项目。策划系列体育赛事，支持体育文化、体育健康、体育教育、体育科技稳步融合发展。</w:t>
      </w:r>
    </w:p>
    <w:p>
      <w:pPr>
        <w:pStyle w:val="36"/>
        <w:adjustRightInd/>
        <w:snapToGrid w:val="0"/>
        <w:spacing w:line="560" w:lineRule="exact"/>
        <w:ind w:leftChars="0" w:firstLine="0"/>
        <w:outlineLvl w:val="1"/>
        <w:rPr>
          <w:rFonts w:ascii="Times New Roman" w:hAnsi="Times New Roman" w:cs="Times New Roman"/>
          <w:szCs w:val="32"/>
        </w:rPr>
      </w:pPr>
      <w:bookmarkStart w:id="238" w:name="_Toc27439"/>
      <w:bookmarkStart w:id="239" w:name="_Toc8289"/>
      <w:bookmarkStart w:id="240" w:name="_Toc21246"/>
      <w:bookmarkStart w:id="241" w:name="_Toc60738059"/>
      <w:bookmarkStart w:id="242" w:name="_Toc61946355"/>
      <w:bookmarkStart w:id="243" w:name="_Toc28407"/>
      <w:r>
        <w:rPr>
          <w:rFonts w:ascii="Times New Roman" w:hAnsi="楷体_GB2312" w:cs="Times New Roman"/>
          <w:szCs w:val="32"/>
        </w:rPr>
        <w:t>第三节</w:t>
      </w:r>
      <w:r>
        <w:rPr>
          <w:rFonts w:hint="eastAsia" w:ascii="Times New Roman" w:hAnsi="楷体_GB2312" w:cs="Times New Roman"/>
          <w:szCs w:val="32"/>
          <w:lang w:val="en-US" w:eastAsia="zh-CN"/>
        </w:rPr>
        <w:t xml:space="preserve"> </w:t>
      </w:r>
      <w:r>
        <w:rPr>
          <w:rFonts w:ascii="Times New Roman" w:hAnsi="楷体_GB2312" w:cs="Times New Roman"/>
          <w:szCs w:val="32"/>
        </w:rPr>
        <w:t>塑造葵城新形象</w:t>
      </w:r>
      <w:bookmarkEnd w:id="238"/>
      <w:bookmarkEnd w:id="239"/>
      <w:bookmarkEnd w:id="240"/>
      <w:bookmarkEnd w:id="241"/>
      <w:bookmarkEnd w:id="242"/>
      <w:bookmarkEnd w:id="243"/>
    </w:p>
    <w:p>
      <w:pPr>
        <w:spacing w:line="560" w:lineRule="exact"/>
        <w:ind w:firstLine="600"/>
        <w:jc w:val="both"/>
        <w:rPr>
          <w:rFonts w:ascii="Times New Roman" w:hAnsi="Times New Roman" w:eastAsia="仿宋_GB2312" w:cs="Times New Roman"/>
          <w:sz w:val="32"/>
          <w:szCs w:val="32"/>
        </w:rPr>
      </w:pPr>
      <w:r>
        <w:rPr>
          <w:rFonts w:ascii="Times New Roman" w:hAnsi="仿宋_GB2312" w:eastAsia="仿宋_GB2312" w:cs="Times New Roman"/>
          <w:b/>
          <w:bCs/>
          <w:sz w:val="32"/>
          <w:szCs w:val="32"/>
        </w:rPr>
        <w:t>打响葵乡文化品牌。</w:t>
      </w:r>
      <w:r>
        <w:rPr>
          <w:rFonts w:ascii="Times New Roman" w:hAnsi="仿宋_GB2312" w:eastAsia="仿宋_GB2312" w:cs="Times New Roman"/>
          <w:sz w:val="32"/>
          <w:szCs w:val="32"/>
        </w:rPr>
        <w:t>加强文化内容生产，推动冈州文化、葵乡文化、陈皮文化以及崖山文化等品牌化、文化体验多元化、文化研学化。围绕新会陈皮、古典家具、小冈香三大传统非遗产业和其他重点文化产业，培育发展文化创意与设计，促进和高新技术深度融合，提升文化产业核心竞争力。定期开展古典家具、新会陈皮、小冈香、五金不锈钢制品十大品牌等评选推介活动。</w:t>
      </w:r>
      <w:r>
        <w:rPr>
          <w:rFonts w:hint="eastAsia" w:ascii="Times New Roman" w:hAnsi="仿宋_GB2312" w:eastAsia="仿宋_GB2312" w:cs="Times New Roman"/>
          <w:sz w:val="32"/>
          <w:szCs w:val="32"/>
        </w:rPr>
        <w:t>加强“新会心礼”系列手信文创研发，培育2家以上创新能力强、品牌影响力大的文创产品生产企业。</w:t>
      </w:r>
      <w:r>
        <w:rPr>
          <w:rFonts w:ascii="Times New Roman" w:hAnsi="仿宋_GB2312" w:eastAsia="仿宋_GB2312" w:cs="Times New Roman"/>
          <w:sz w:val="32"/>
          <w:szCs w:val="32"/>
        </w:rPr>
        <w:t>挖掘、弘扬宋元崖门古战场、梁启超故居、凌云塔、赵公祠等古代历史文化，打造历史文化风情圈。弘扬传承“围垦精神”与“古兜精神”等优良精神品质，</w:t>
      </w:r>
      <w:r>
        <w:rPr>
          <w:rFonts w:hint="eastAsia" w:ascii="Times New Roman" w:hAnsi="仿宋_GB2312" w:eastAsia="仿宋_GB2312" w:cs="Times New Roman"/>
          <w:sz w:val="32"/>
          <w:szCs w:val="32"/>
        </w:rPr>
        <w:t>深化“少年中国说”品牌活动，进一步擦亮梁启超家风文化品牌，着力将梁启超故居纪念馆打造成为全省干部德政教育基地、家风家教实践基地。</w:t>
      </w:r>
      <w:r>
        <w:rPr>
          <w:rFonts w:ascii="Times New Roman" w:hAnsi="仿宋_GB2312" w:eastAsia="仿宋_GB2312" w:cs="Times New Roman"/>
          <w:sz w:val="32"/>
          <w:szCs w:val="32"/>
        </w:rPr>
        <w:t>进一步打响圭峰山</w:t>
      </w:r>
      <w:r>
        <w:rPr>
          <w:rFonts w:ascii="Times New Roman" w:hAnsi="Times New Roman" w:eastAsia="仿宋_GB2312" w:cs="Times New Roman"/>
          <w:sz w:val="32"/>
          <w:szCs w:val="32"/>
        </w:rPr>
        <w:t>“</w:t>
      </w:r>
      <w:r>
        <w:rPr>
          <w:rFonts w:ascii="Times New Roman" w:hAnsi="仿宋_GB2312" w:eastAsia="仿宋_GB2312" w:cs="Times New Roman"/>
          <w:sz w:val="32"/>
          <w:szCs w:val="32"/>
        </w:rPr>
        <w:t>岭南儒学第一山</w:t>
      </w:r>
      <w:r>
        <w:rPr>
          <w:rFonts w:ascii="Times New Roman" w:hAnsi="Times New Roman" w:eastAsia="仿宋_GB2312" w:cs="Times New Roman"/>
          <w:sz w:val="32"/>
          <w:szCs w:val="32"/>
        </w:rPr>
        <w:t>”</w:t>
      </w:r>
      <w:r>
        <w:rPr>
          <w:rFonts w:ascii="Times New Roman" w:hAnsi="仿宋_GB2312" w:eastAsia="仿宋_GB2312" w:cs="Times New Roman"/>
          <w:sz w:val="32"/>
          <w:szCs w:val="32"/>
        </w:rPr>
        <w:t>文化品牌，推动创建国家</w:t>
      </w:r>
      <w:r>
        <w:rPr>
          <w:rFonts w:ascii="Times New Roman" w:hAnsi="Times New Roman" w:eastAsia="仿宋_GB2312" w:cs="Times New Roman"/>
          <w:sz w:val="32"/>
          <w:szCs w:val="32"/>
        </w:rPr>
        <w:t>5A</w:t>
      </w:r>
      <w:r>
        <w:rPr>
          <w:rFonts w:ascii="Times New Roman" w:hAnsi="仿宋_GB2312" w:eastAsia="仿宋_GB2312" w:cs="Times New Roman"/>
          <w:sz w:val="32"/>
          <w:szCs w:val="32"/>
        </w:rPr>
        <w:t>级旅游景区。</w:t>
      </w:r>
    </w:p>
    <w:p>
      <w:pPr>
        <w:spacing w:line="560" w:lineRule="exact"/>
        <w:ind w:firstLine="643"/>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密切华侨联系交流。</w:t>
      </w:r>
      <w:r>
        <w:rPr>
          <w:rFonts w:ascii="Times New Roman" w:hAnsi="仿宋_GB2312" w:eastAsia="仿宋_GB2312" w:cs="Times New Roman"/>
          <w:sz w:val="32"/>
          <w:szCs w:val="32"/>
        </w:rPr>
        <w:t>推进江门</w:t>
      </w:r>
      <w:r>
        <w:rPr>
          <w:rFonts w:ascii="Times New Roman" w:hAnsi="Times New Roman" w:eastAsia="仿宋_GB2312" w:cs="Times New Roman"/>
          <w:sz w:val="32"/>
          <w:szCs w:val="32"/>
        </w:rPr>
        <w:t>“</w:t>
      </w:r>
      <w:r>
        <w:rPr>
          <w:rFonts w:ascii="Times New Roman" w:hAnsi="仿宋_GB2312" w:eastAsia="仿宋_GB2312" w:cs="Times New Roman"/>
          <w:sz w:val="32"/>
          <w:szCs w:val="32"/>
        </w:rPr>
        <w:t>侨梦苑</w:t>
      </w:r>
      <w:r>
        <w:rPr>
          <w:rFonts w:ascii="Times New Roman" w:hAnsi="Times New Roman" w:eastAsia="仿宋_GB2312" w:cs="Times New Roman"/>
          <w:sz w:val="32"/>
          <w:szCs w:val="32"/>
        </w:rPr>
        <w:t>”</w:t>
      </w:r>
      <w:r>
        <w:rPr>
          <w:rFonts w:ascii="Times New Roman" w:hAnsi="仿宋_GB2312" w:eastAsia="仿宋_GB2312" w:cs="Times New Roman"/>
          <w:sz w:val="32"/>
          <w:szCs w:val="32"/>
        </w:rPr>
        <w:t>新会园建设，扩大华侨华人交流合作窗口，引进一批海外华侨华人高新技术人才，推动在新会工作生活的港澳居民在民生方面享有本地市民待遇，吸引更多港澳台同胞和海外侨胞回到新会，打造国际一流的创业创新产业平台。以梁启超诞辰</w:t>
      </w:r>
      <w:r>
        <w:rPr>
          <w:rFonts w:ascii="Times New Roman" w:hAnsi="Times New Roman" w:eastAsia="仿宋_GB2312" w:cs="Times New Roman"/>
          <w:sz w:val="32"/>
          <w:szCs w:val="32"/>
        </w:rPr>
        <w:t>150</w:t>
      </w:r>
      <w:r>
        <w:rPr>
          <w:rFonts w:ascii="Times New Roman" w:hAnsi="仿宋_GB2312" w:eastAsia="仿宋_GB2312" w:cs="Times New Roman"/>
          <w:sz w:val="32"/>
          <w:szCs w:val="32"/>
        </w:rPr>
        <w:t>周年为契机，促进文化交流活动开展，加强与粤港澳大湾区各地之间的文化交流，组织新会优秀文化艺术作品在粤港澳大湾区内开展巡演交流活动。发挥新会环球青年协会、侨青会、海归会作用，紧密华侨华人文化交流联系，推进联谊交往、回乡恳亲、寻根问祖、投资考察等，做好侨乡文化资源的挖掘、传承和活化利用，将新会打造成华人华侨文化交流合作重要平台。</w:t>
      </w:r>
    </w:p>
    <w:p>
      <w:pPr>
        <w:pStyle w:val="2"/>
        <w:spacing w:line="560" w:lineRule="exact"/>
        <w:rPr>
          <w:rFonts w:ascii="Times New Roman" w:hAnsi="Times New Roman"/>
          <w:b w:val="0"/>
          <w:szCs w:val="32"/>
        </w:rPr>
      </w:pPr>
      <w:r>
        <w:rPr>
          <w:rFonts w:ascii="Times New Roman" w:hAnsi="Times New Roman"/>
          <w:szCs w:val="32"/>
        </w:rPr>
        <w:br w:type="page"/>
      </w:r>
      <w:bookmarkStart w:id="244" w:name="_Toc14916"/>
      <w:bookmarkStart w:id="245" w:name="_Toc12507"/>
      <w:bookmarkStart w:id="246" w:name="_Toc60738060"/>
      <w:bookmarkStart w:id="247" w:name="_Toc2874"/>
      <w:bookmarkStart w:id="248" w:name="_Toc19538"/>
      <w:bookmarkStart w:id="249" w:name="_Toc14327"/>
      <w:bookmarkStart w:id="250" w:name="_Toc61946356"/>
      <w:r>
        <w:rPr>
          <w:rFonts w:ascii="Times New Roman" w:hAnsi="黑体"/>
          <w:b w:val="0"/>
          <w:szCs w:val="32"/>
        </w:rPr>
        <w:t>第十二章</w:t>
      </w:r>
      <w:bookmarkEnd w:id="244"/>
      <w:bookmarkEnd w:id="245"/>
      <w:bookmarkEnd w:id="246"/>
      <w:bookmarkEnd w:id="247"/>
      <w:bookmarkEnd w:id="248"/>
      <w:bookmarkEnd w:id="249"/>
      <w:r>
        <w:rPr>
          <w:rFonts w:hint="eastAsia" w:ascii="Times New Roman" w:hAnsi="黑体"/>
          <w:b w:val="0"/>
          <w:szCs w:val="32"/>
          <w:lang w:val="en-US" w:eastAsia="zh-CN"/>
        </w:rPr>
        <w:t xml:space="preserve"> </w:t>
      </w:r>
      <w:r>
        <w:rPr>
          <w:rFonts w:ascii="Times New Roman" w:hAnsi="黑体"/>
          <w:b w:val="0"/>
          <w:szCs w:val="32"/>
        </w:rPr>
        <w:t>扩大民生供给</w:t>
      </w:r>
      <w:r>
        <w:rPr>
          <w:rFonts w:hint="eastAsia" w:ascii="Times New Roman" w:hAnsi="黑体"/>
          <w:b w:val="0"/>
          <w:szCs w:val="32"/>
          <w:lang w:val="en-US" w:eastAsia="zh-CN"/>
        </w:rPr>
        <w:t xml:space="preserve"> </w:t>
      </w:r>
      <w:r>
        <w:rPr>
          <w:rFonts w:ascii="Times New Roman" w:hAnsi="黑体"/>
          <w:b w:val="0"/>
          <w:szCs w:val="32"/>
        </w:rPr>
        <w:t>改善人民生活品质</w:t>
      </w:r>
      <w:bookmarkEnd w:id="250"/>
    </w:p>
    <w:bookmarkEnd w:id="186"/>
    <w:bookmarkEnd w:id="187"/>
    <w:p>
      <w:pPr>
        <w:spacing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坚持以人民为中心的发展思想，构建幸福新会，在民生领域持续发力，加快补短板、强弱项，扎实推进市域社会治理现代化试点工作，构建共建共治共享社会治理格局，实现更高质量、更有效率、更加公平、更可持续发展，满足人民美好生活新需要。</w:t>
      </w:r>
    </w:p>
    <w:p>
      <w:pPr>
        <w:pStyle w:val="3"/>
        <w:spacing w:line="560" w:lineRule="exact"/>
        <w:jc w:val="center"/>
        <w:rPr>
          <w:rFonts w:ascii="Times New Roman" w:hAnsi="Times New Roman" w:eastAsia="楷体_GB2312"/>
          <w:b w:val="0"/>
        </w:rPr>
      </w:pPr>
      <w:bookmarkStart w:id="251" w:name="_Toc14201"/>
      <w:bookmarkStart w:id="252" w:name="_Toc60738061"/>
      <w:bookmarkStart w:id="253" w:name="_Toc29868"/>
      <w:bookmarkStart w:id="254" w:name="_Toc6968"/>
      <w:bookmarkStart w:id="255" w:name="_Toc61946357"/>
      <w:bookmarkStart w:id="256" w:name="_Toc16790"/>
      <w:r>
        <w:rPr>
          <w:rFonts w:ascii="Times New Roman" w:hAnsi="Times New Roman" w:eastAsia="楷体_GB2312"/>
          <w:b w:val="0"/>
        </w:rPr>
        <w:t>第一节 提高收入和就业水平</w:t>
      </w:r>
      <w:bookmarkEnd w:id="251"/>
      <w:bookmarkEnd w:id="252"/>
      <w:bookmarkEnd w:id="253"/>
      <w:bookmarkEnd w:id="254"/>
      <w:bookmarkEnd w:id="255"/>
      <w:bookmarkEnd w:id="256"/>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保持居民收入与经济增长基本同步。</w:t>
      </w:r>
      <w:r>
        <w:rPr>
          <w:rFonts w:ascii="Times New Roman" w:hAnsi="仿宋_GB2312" w:eastAsia="仿宋_GB2312" w:cs="Times New Roman"/>
          <w:sz w:val="32"/>
          <w:szCs w:val="32"/>
        </w:rPr>
        <w:t>多渠道增加城乡居民收入，缩小城乡居民收入差距。深化机关和事业单位工资制度改革，完善国有企业工资决定机制。完善最低工资保障制度，健全最低工资标准调整、工资集体协商和企业薪酬调查机制。探索通过土地、资本等要素使用权、收益权增加中低收入群体要素收入。多渠道增加居民财产性收入。发挥第三次分配作用，发展慈善事业，改善收入和财富分配格局。着力保障劳动者合法权益，推进劳动关系和谐稳定。</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bCs/>
          <w:sz w:val="32"/>
          <w:szCs w:val="32"/>
        </w:rPr>
        <w:t>全力以赴稳就业。</w:t>
      </w:r>
      <w:r>
        <w:rPr>
          <w:rFonts w:ascii="Times New Roman" w:hAnsi="仿宋_GB2312" w:eastAsia="仿宋_GB2312" w:cs="Times New Roman"/>
          <w:sz w:val="32"/>
          <w:szCs w:val="32"/>
        </w:rPr>
        <w:t>发挥骨干企业、重点建设项目、核心发展区域、重大发展平台和产业园区对就业人口的承接、容纳。推动创业孵化基地建设，吸引和鼓励华侨华人、港澳台同胞、进城务工人员返乡创业。落实失业人员、就业困难人员、高校应届毕业生、退役军人的就业创业工作，制定个性化援助计划，完善对重点群体的跟踪帮扶机制。不断完善就业创业扶持政策，支持广大劳动群众积极就业，大胆创业。扎实推进</w:t>
      </w:r>
      <w:r>
        <w:rPr>
          <w:rFonts w:ascii="Times New Roman" w:hAnsi="Times New Roman" w:eastAsia="仿宋_GB2312" w:cs="Times New Roman"/>
          <w:sz w:val="32"/>
          <w:szCs w:val="32"/>
        </w:rPr>
        <w:t>“</w:t>
      </w:r>
      <w:r>
        <w:rPr>
          <w:rFonts w:ascii="Times New Roman" w:hAnsi="仿宋_GB2312" w:eastAsia="仿宋_GB2312" w:cs="Times New Roman"/>
          <w:sz w:val="32"/>
          <w:szCs w:val="32"/>
        </w:rPr>
        <w:t>粤菜师傅</w:t>
      </w:r>
      <w:r>
        <w:rPr>
          <w:rFonts w:ascii="Times New Roman" w:hAnsi="Times New Roman" w:eastAsia="仿宋_GB2312" w:cs="Times New Roman"/>
          <w:sz w:val="32"/>
          <w:szCs w:val="32"/>
        </w:rPr>
        <w:t>”“</w:t>
      </w:r>
      <w:r>
        <w:rPr>
          <w:rFonts w:ascii="Times New Roman" w:hAnsi="仿宋_GB2312" w:eastAsia="仿宋_GB2312" w:cs="Times New Roman"/>
          <w:sz w:val="32"/>
          <w:szCs w:val="32"/>
        </w:rPr>
        <w:t>广东技工</w:t>
      </w:r>
      <w:r>
        <w:rPr>
          <w:rFonts w:ascii="Times New Roman" w:hAnsi="Times New Roman" w:eastAsia="仿宋_GB2312" w:cs="Times New Roman"/>
          <w:sz w:val="32"/>
          <w:szCs w:val="32"/>
        </w:rPr>
        <w:t>”“</w:t>
      </w:r>
      <w:r>
        <w:rPr>
          <w:rFonts w:ascii="Times New Roman" w:hAnsi="仿宋_GB2312" w:eastAsia="仿宋_GB2312" w:cs="Times New Roman"/>
          <w:sz w:val="32"/>
          <w:szCs w:val="32"/>
        </w:rPr>
        <w:t>南粤家政</w:t>
      </w:r>
      <w:r>
        <w:rPr>
          <w:rFonts w:ascii="Times New Roman" w:hAnsi="Times New Roman" w:eastAsia="仿宋_GB2312" w:cs="Times New Roman"/>
          <w:sz w:val="32"/>
          <w:szCs w:val="32"/>
        </w:rPr>
        <w:t>”</w:t>
      </w:r>
      <w:r>
        <w:rPr>
          <w:rFonts w:ascii="Times New Roman" w:hAnsi="仿宋_GB2312" w:eastAsia="仿宋_GB2312" w:cs="Times New Roman"/>
          <w:sz w:val="32"/>
          <w:szCs w:val="32"/>
        </w:rPr>
        <w:t>三项工程高质量发展，提高群众就业能力。畅通企业、机关、事业单位等就业渠道。力争实现公共就业创业服务体系区、镇、村三级覆盖，搭建劳动力供需平台，促进农村劳动力就业。加大企业招用工服务力度，落实企业稳岗政策、稳岗补贴。建立健全就业需求调查和失业监测预警机制，推进就业实名制建设和应用，着力防范大规模失业风险。</w:t>
      </w:r>
    </w:p>
    <w:p>
      <w:pPr>
        <w:pStyle w:val="3"/>
        <w:spacing w:line="560" w:lineRule="exact"/>
        <w:jc w:val="center"/>
        <w:rPr>
          <w:rFonts w:ascii="Times New Roman" w:hAnsi="Times New Roman" w:eastAsia="楷体_GB2312"/>
          <w:b w:val="0"/>
        </w:rPr>
      </w:pPr>
      <w:bookmarkStart w:id="257" w:name="_Toc7257"/>
      <w:bookmarkStart w:id="258" w:name="_Toc8217"/>
      <w:bookmarkStart w:id="259" w:name="_Toc61946358"/>
      <w:bookmarkStart w:id="260" w:name="_Toc15728"/>
      <w:bookmarkStart w:id="261" w:name="_Toc10923"/>
      <w:bookmarkStart w:id="262" w:name="_Toc60738062"/>
      <w:r>
        <w:rPr>
          <w:rFonts w:ascii="Times New Roman" w:hAnsi="Times New Roman" w:eastAsia="楷体_GB2312"/>
          <w:b w:val="0"/>
        </w:rPr>
        <w:t>第二节 完善社会保障体系</w:t>
      </w:r>
      <w:bookmarkEnd w:id="257"/>
      <w:bookmarkEnd w:id="258"/>
      <w:bookmarkEnd w:id="259"/>
      <w:bookmarkEnd w:id="260"/>
      <w:bookmarkEnd w:id="261"/>
      <w:bookmarkEnd w:id="262"/>
    </w:p>
    <w:p>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sz w:val="32"/>
          <w:szCs w:val="32"/>
        </w:rPr>
        <w:t>健全覆盖多层次社会保障体系。</w:t>
      </w:r>
      <w:r>
        <w:rPr>
          <w:rFonts w:ascii="Times New Roman" w:hAnsi="仿宋_GB2312" w:eastAsia="仿宋_GB2312" w:cs="Times New Roman"/>
          <w:sz w:val="32"/>
          <w:szCs w:val="32"/>
        </w:rPr>
        <w:t>促进全民享有社会保障，加快构建政府主导、社会参与、制度健全、政策衔接、兜底有力的“大救助”体系，推动救助方式向“物质+服务”转变。</w:t>
      </w:r>
      <w:r>
        <w:rPr>
          <w:rFonts w:hint="eastAsia" w:ascii="Times New Roman" w:hAnsi="仿宋_GB2312" w:eastAsia="仿宋_GB2312" w:cs="Times New Roman"/>
          <w:sz w:val="32"/>
          <w:szCs w:val="32"/>
          <w:lang w:eastAsia="zh-CN"/>
        </w:rPr>
        <w:t>进一步深化养老、工伤、失业保险制度改革，推动建立覆盖全民、统筹城乡、权责清晰、保障适度、可持续的多层次社会保障体系</w:t>
      </w:r>
      <w:r>
        <w:rPr>
          <w:rFonts w:hint="eastAsia" w:ascii="Times New Roman" w:hAnsi="仿宋_GB2312" w:eastAsia="仿宋_GB2312" w:cs="Times New Roman"/>
          <w:sz w:val="32"/>
          <w:szCs w:val="32"/>
        </w:rPr>
        <w:t>。推进医疗保障制度改革，落实职工和城乡居民分类保障，引导补充性、公益性医疗保障以及商业医疗保险健康发展。深化医保支付方式改革，推进药品、医用耗材集中带量采购制度改革，实现医疗救助全流程网上办理，加快落实社保转移接续、异地就医结算制度，加强医保基金和“两定”机构监督管理。</w:t>
      </w:r>
      <w:r>
        <w:rPr>
          <w:rFonts w:ascii="Times New Roman" w:hAnsi="仿宋_GB2312" w:eastAsia="仿宋_GB2312" w:cs="Times New Roman"/>
          <w:sz w:val="32"/>
          <w:szCs w:val="32"/>
        </w:rPr>
        <w:t>实施兜底民生服务社会工作双百工程，实现镇（街）社会工作服务站（点）、困难群众和特殊群体社会工作服务</w:t>
      </w:r>
      <w:r>
        <w:rPr>
          <w:rFonts w:ascii="Times New Roman" w:hAnsi="Times New Roman" w:eastAsia="仿宋_GB2312" w:cs="Times New Roman"/>
          <w:sz w:val="32"/>
          <w:szCs w:val="32"/>
        </w:rPr>
        <w:t>100%</w:t>
      </w:r>
      <w:r>
        <w:rPr>
          <w:rFonts w:ascii="Times New Roman" w:hAnsi="仿宋_GB2312" w:eastAsia="仿宋_GB2312" w:cs="Times New Roman"/>
          <w:sz w:val="32"/>
          <w:szCs w:val="32"/>
        </w:rPr>
        <w:t>覆盖，进一步织密扎牢民生兜底保障安全网。深化社会保险制度改革。优化社会保险公共服务。推进社会保险基金管理风险防控。落实和强化慈善激励政策。坚持房子是用来住的、不是用来炒的定位，有效增加保障性住房供给。</w:t>
      </w:r>
    </w:p>
    <w:p>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健全退役军人工作体系和保障制度。</w:t>
      </w:r>
      <w:r>
        <w:rPr>
          <w:rFonts w:ascii="Times New Roman" w:hAnsi="仿宋_GB2312" w:eastAsia="仿宋_GB2312" w:cs="Times New Roman"/>
          <w:sz w:val="32"/>
          <w:szCs w:val="32"/>
        </w:rPr>
        <w:t>巩固全国双拥模范城成果。实施退役军人志愿服务工程，建立覆盖到村（社区）的退役军人志愿服务队伍。健全退役军人移交安置机制，提高安置质量，强化安置保障。完善教育培训体系，大力扶持就业创业。健全待遇保障制度，完善困难帮扶援助机制，构建新型优待保障体系。</w:t>
      </w:r>
    </w:p>
    <w:p>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sz w:val="32"/>
          <w:szCs w:val="32"/>
        </w:rPr>
        <w:t>积极应对人口老龄化。</w:t>
      </w:r>
      <w:r>
        <w:rPr>
          <w:rFonts w:ascii="Times New Roman" w:hAnsi="仿宋_GB2312" w:eastAsia="仿宋_GB2312" w:cs="Times New Roman"/>
          <w:sz w:val="32"/>
          <w:szCs w:val="32"/>
        </w:rPr>
        <w:t>着力提高优生优育服务水平，增强生育政策包容性，促进人口长期均衡发展。健全基本养老服务体系，不断完善居家社区机构相协调，医养康养相结合的养老助残服务体系。深化养老保险制度改革。加快养老服务业规范化、高质量发展。发展普惠型养老服务和互助性养老，支持家庭承担养老功能，培育养老新业态。科学运营区养老中心，提升养老机构管理效能。支持社会力量发展普惠托育服务，创新合作模式。推动居家养老助残</w:t>
      </w:r>
      <w:r>
        <w:rPr>
          <w:rFonts w:ascii="Times New Roman" w:hAnsi="Times New Roman" w:eastAsia="仿宋_GB2312" w:cs="Times New Roman"/>
          <w:sz w:val="32"/>
          <w:szCs w:val="32"/>
        </w:rPr>
        <w:t>“</w:t>
      </w:r>
      <w:r>
        <w:rPr>
          <w:rFonts w:ascii="Times New Roman" w:hAnsi="仿宋_GB2312" w:eastAsia="仿宋_GB2312" w:cs="Times New Roman"/>
          <w:sz w:val="32"/>
          <w:szCs w:val="32"/>
        </w:rPr>
        <w:t>平安通</w:t>
      </w:r>
      <w:r>
        <w:rPr>
          <w:rFonts w:ascii="Times New Roman" w:hAnsi="Times New Roman" w:eastAsia="仿宋_GB2312" w:cs="Times New Roman"/>
          <w:sz w:val="32"/>
          <w:szCs w:val="32"/>
        </w:rPr>
        <w:t>”</w:t>
      </w:r>
      <w:r>
        <w:rPr>
          <w:rFonts w:ascii="Times New Roman" w:hAnsi="仿宋_GB2312" w:eastAsia="仿宋_GB2312" w:cs="Times New Roman"/>
          <w:sz w:val="32"/>
          <w:szCs w:val="32"/>
        </w:rPr>
        <w:t>平台等智慧养老应用扩面扩容。积极开发老龄人力资源，发展老年人教育，发展</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银发经济</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w:t>
      </w:r>
    </w:p>
    <w:p>
      <w:pPr>
        <w:pStyle w:val="3"/>
        <w:numPr>
          <w:ilvl w:val="255"/>
          <w:numId w:val="0"/>
        </w:numPr>
        <w:spacing w:line="560" w:lineRule="exact"/>
        <w:jc w:val="center"/>
        <w:rPr>
          <w:rFonts w:ascii="Times New Roman" w:hAnsi="Times New Roman" w:eastAsia="楷体_GB2312"/>
        </w:rPr>
      </w:pPr>
      <w:bookmarkStart w:id="263" w:name="_Toc61946359"/>
      <w:r>
        <w:rPr>
          <w:rFonts w:ascii="Times New Roman" w:hAnsi="Times New Roman" w:eastAsia="楷体_GB2312"/>
          <w:b w:val="0"/>
        </w:rPr>
        <w:t>第三节</w:t>
      </w:r>
      <w:bookmarkStart w:id="264" w:name="_Toc60819496"/>
      <w:r>
        <w:rPr>
          <w:rFonts w:ascii="Times New Roman" w:hAnsi="Times New Roman" w:eastAsia="楷体_GB2312"/>
          <w:b w:val="0"/>
        </w:rPr>
        <w:t xml:space="preserve"> 保障妇女、未成年人和残疾人权益</w:t>
      </w:r>
      <w:bookmarkEnd w:id="263"/>
      <w:bookmarkEnd w:id="264"/>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bCs/>
          <w:sz w:val="32"/>
          <w:szCs w:val="32"/>
        </w:rPr>
        <w:t>促进妇女全面发展。</w:t>
      </w:r>
      <w:r>
        <w:rPr>
          <w:rFonts w:ascii="Times New Roman" w:hAnsi="仿宋_GB2312" w:eastAsia="仿宋_GB2312" w:cs="Times New Roman"/>
          <w:sz w:val="32"/>
          <w:szCs w:val="32"/>
        </w:rPr>
        <w:t>全面贯彻落实男女平等基本国策，坚持和完善促进男女平等、妇女全面发展的制度机制。实施新会区妇女发展规划，全方位优化妇女发展环境，通过制定政策、完善机制，促使妇女参与经济社会发展、享有改革发展成果的平等权利得到切实保障，提高妇女参与国家和经济文化社会事务管理水平。拓宽妇女就业渠道，消除就业性别歧视。高质量促进妇女成长成才。积极构建以男女平等为核心的先进性别文化。完善落实法规政策性别平等评估机制。降低出生人口性别比，促进人口均衡发展。严厉打击侵害妇女合法权益的违法犯罪行为。建立城乡生育补贴制度，增强妇女生育保障能力，提升生育水平。保障农村妇女土地权益。缩小妇女发展的城乡、区域、群体差距。加强特殊困难妇女群体民生保障。完善分性别统计制度。</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bCs/>
          <w:sz w:val="32"/>
          <w:szCs w:val="32"/>
        </w:rPr>
        <w:t>关爱未成年人健康成长。</w:t>
      </w:r>
      <w:r>
        <w:rPr>
          <w:rFonts w:ascii="Times New Roman" w:hAnsi="仿宋_GB2312" w:eastAsia="仿宋_GB2312" w:cs="Times New Roman"/>
          <w:sz w:val="32"/>
          <w:szCs w:val="32"/>
        </w:rPr>
        <w:t>坚持儿童优先发展原则，建立和完善促进儿童优先发展和全面发展的制度体系，保障资源配置对儿童基本需求的高度优先。实施新会区儿童发展规划，缩小儿童发展的城乡、区域、群体差距，保障儿童生存、发展、受保护和参与的权利。完善学校家庭社会协同育人机制，落实立德树人根本任务，促进儿童早期发展，探索实施学龄前儿童营养改善计划，全面提升儿童综合素质。完善儿童监护制度，健全儿童保护机制，加强留守儿童关爱服务，落实困境儿童保障制度。健全基层儿童发展环境。优化儿童发展环境，推进创建儿童友好城市和儿童友好社区，提高城乡社区儿童之家建设水平。提升儿童营养及食品用品质量安全水平，预防和控制儿童伤害。健全未成年人网络保护综合治理机制，提升儿童网络素养，严厉打击危害儿童身心健康的违法犯罪行为。预防未成年人违法犯罪。</w:t>
      </w:r>
    </w:p>
    <w:p>
      <w:pPr>
        <w:spacing w:line="560" w:lineRule="exact"/>
        <w:ind w:firstLine="641"/>
        <w:jc w:val="both"/>
        <w:rPr>
          <w:rFonts w:ascii="Times New Roman" w:hAnsi="Times New Roman" w:eastAsia="仿宋_GB2312" w:cs="Times New Roman"/>
          <w:sz w:val="32"/>
          <w:szCs w:val="32"/>
        </w:rPr>
      </w:pPr>
      <w:r>
        <w:rPr>
          <w:rFonts w:ascii="Times New Roman" w:hAnsi="仿宋_GB2312" w:eastAsia="仿宋_GB2312" w:cs="Times New Roman"/>
          <w:b/>
          <w:bCs/>
          <w:sz w:val="32"/>
          <w:szCs w:val="32"/>
        </w:rPr>
        <w:t>加强家庭建设。</w:t>
      </w:r>
      <w:r>
        <w:rPr>
          <w:rFonts w:ascii="Times New Roman" w:hAnsi="仿宋_GB2312" w:eastAsia="仿宋_GB2312" w:cs="Times New Roman"/>
          <w:sz w:val="32"/>
          <w:szCs w:val="32"/>
        </w:rPr>
        <w:t>注重家庭、家教、家风建设。制定完善支持家庭发展的政策，落实完善生育支持、儿童养育教育、老人赡养、促进工作家庭平衡等税收和福利政策，加强对困难家庭、失独家庭、单亲特困等特殊家庭的政策支持、救助和服务。充分发挥家庭家教家风在基层社会治理中的重要作用，建设平等、和睦、文明的婚姻家庭关系，完善婚姻家庭纠纷预防化解机制，预防和制止家庭暴力。建立完善覆盖城乡的家庭教育指导服务体系，区、镇（街道）均建立家庭教育指导服务中心，村（社区）家长学校全覆盖，促进发展家庭服务。倡导夫妻共同承担儿童的抚养、教育、保护责任，支持家庭承担赡养老人责任。构建普惠托育服务体系，加快发展家庭服务业，探索实行父母带薪育儿假。</w:t>
      </w:r>
    </w:p>
    <w:p>
      <w:pPr>
        <w:spacing w:line="560" w:lineRule="exact"/>
        <w:ind w:firstLine="641"/>
        <w:jc w:val="both"/>
        <w:rPr>
          <w:rFonts w:ascii="Times New Roman" w:hAnsi="Times New Roman" w:eastAsia="仿宋_GB2312" w:cs="Times New Roman"/>
          <w:sz w:val="32"/>
          <w:szCs w:val="32"/>
          <w:highlight w:val="yellow"/>
        </w:rPr>
      </w:pPr>
      <w:r>
        <w:rPr>
          <w:rFonts w:ascii="Times New Roman" w:hAnsi="仿宋_GB2312" w:eastAsia="仿宋_GB2312" w:cs="Times New Roman"/>
          <w:b/>
          <w:bCs/>
          <w:sz w:val="32"/>
          <w:szCs w:val="32"/>
        </w:rPr>
        <w:t>大力发展残疾人关爱事业。</w:t>
      </w:r>
      <w:r>
        <w:rPr>
          <w:rFonts w:ascii="Times New Roman" w:hAnsi="仿宋_GB2312" w:eastAsia="仿宋_GB2312" w:cs="Times New Roman"/>
          <w:sz w:val="32"/>
          <w:szCs w:val="32"/>
        </w:rPr>
        <w:t>提升残疾人保障和服务水平，完善特殊困难精神障碍患者救助和供养机制。搭建全方位的残疾人关爱服务社会动员机制，完善残疾人康复、教育、就业、生活照护等全覆盖、多层次帮扶制度框架，残疾人社会保障体系更加完备，促进残疾人的全面发展。</w:t>
      </w:r>
    </w:p>
    <w:p>
      <w:pPr>
        <w:pStyle w:val="3"/>
        <w:spacing w:line="560" w:lineRule="exact"/>
        <w:jc w:val="center"/>
        <w:rPr>
          <w:rFonts w:ascii="Times New Roman" w:hAnsi="Times New Roman" w:eastAsia="楷体_GB2312"/>
          <w:b w:val="0"/>
        </w:rPr>
      </w:pPr>
      <w:bookmarkStart w:id="265" w:name="_Toc9569"/>
      <w:bookmarkStart w:id="266" w:name="_Toc16245"/>
      <w:bookmarkStart w:id="267" w:name="_Toc27125"/>
      <w:bookmarkStart w:id="268" w:name="_Toc60738063"/>
      <w:bookmarkStart w:id="269" w:name="_Toc61946360"/>
      <w:bookmarkStart w:id="270" w:name="_Toc1502"/>
      <w:r>
        <w:rPr>
          <w:rFonts w:ascii="Times New Roman" w:hAnsi="Times New Roman" w:eastAsia="楷体_GB2312"/>
          <w:b w:val="0"/>
        </w:rPr>
        <w:t>第四节 加快推进教育现代化</w:t>
      </w:r>
      <w:bookmarkEnd w:id="265"/>
      <w:bookmarkEnd w:id="266"/>
      <w:bookmarkEnd w:id="267"/>
      <w:bookmarkEnd w:id="268"/>
      <w:bookmarkEnd w:id="269"/>
      <w:bookmarkEnd w:id="270"/>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推动基础教育优质均衡发展。</w:t>
      </w:r>
      <w:r>
        <w:rPr>
          <w:rFonts w:ascii="Times New Roman" w:hAnsi="仿宋_GB2312" w:eastAsia="仿宋_GB2312" w:cs="Times New Roman"/>
          <w:sz w:val="32"/>
          <w:szCs w:val="32"/>
        </w:rPr>
        <w:t>完善学前教育体制机制和政策保障体系，提高普惠幼儿园比例，规范住宅小区配套幼儿园建设和管理，提升幼儿保教科学化水平，力争</w:t>
      </w:r>
      <w:r>
        <w:rPr>
          <w:rFonts w:ascii="Times New Roman" w:hAnsi="Times New Roman" w:eastAsia="仿宋_GB2312" w:cs="Times New Roman"/>
          <w:sz w:val="32"/>
          <w:szCs w:val="32"/>
        </w:rPr>
        <w:t>2024</w:t>
      </w:r>
      <w:r>
        <w:rPr>
          <w:rFonts w:ascii="Times New Roman" w:hAnsi="仿宋_GB2312" w:eastAsia="仿宋_GB2312" w:cs="Times New Roman"/>
          <w:sz w:val="32"/>
          <w:szCs w:val="32"/>
        </w:rPr>
        <w:t>年前顺利通过</w:t>
      </w:r>
      <w:r>
        <w:rPr>
          <w:rFonts w:ascii="Times New Roman" w:hAnsi="Times New Roman" w:eastAsia="仿宋_GB2312" w:cs="Times New Roman"/>
          <w:sz w:val="32"/>
          <w:szCs w:val="32"/>
        </w:rPr>
        <w:t>“</w:t>
      </w:r>
      <w:r>
        <w:rPr>
          <w:rFonts w:ascii="Times New Roman" w:hAnsi="仿宋_GB2312" w:eastAsia="仿宋_GB2312" w:cs="Times New Roman"/>
          <w:sz w:val="32"/>
          <w:szCs w:val="32"/>
        </w:rPr>
        <w:t>学前教育普及普惠区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国家督导评估。积极创建</w:t>
      </w:r>
      <w:r>
        <w:rPr>
          <w:rFonts w:ascii="Times New Roman" w:hAnsi="Times New Roman" w:eastAsia="仿宋_GB2312" w:cs="Times New Roman"/>
          <w:sz w:val="32"/>
          <w:szCs w:val="32"/>
        </w:rPr>
        <w:t>“</w:t>
      </w:r>
      <w:r>
        <w:rPr>
          <w:rFonts w:ascii="Times New Roman" w:hAnsi="仿宋_GB2312" w:eastAsia="仿宋_GB2312" w:cs="Times New Roman"/>
          <w:sz w:val="32"/>
          <w:szCs w:val="32"/>
        </w:rPr>
        <w:t>义务教育优质均衡发展区</w:t>
      </w:r>
      <w:r>
        <w:rPr>
          <w:rFonts w:ascii="Times New Roman" w:hAnsi="Times New Roman" w:eastAsia="仿宋_GB2312" w:cs="Times New Roman"/>
          <w:sz w:val="32"/>
          <w:szCs w:val="32"/>
        </w:rPr>
        <w:t>”</w:t>
      </w:r>
      <w:r>
        <w:rPr>
          <w:rFonts w:ascii="Times New Roman" w:hAnsi="仿宋_GB2312" w:eastAsia="仿宋_GB2312" w:cs="Times New Roman"/>
          <w:sz w:val="32"/>
          <w:szCs w:val="32"/>
        </w:rPr>
        <w:t>，优化中小学和幼儿园的布局、建设和学位规模，确保足够的学位供给。加快</w:t>
      </w:r>
      <w:r>
        <w:rPr>
          <w:rFonts w:hint="eastAsia" w:ascii="Times New Roman" w:hAnsi="仿宋_GB2312" w:eastAsia="仿宋_GB2312" w:cs="Times New Roman"/>
          <w:sz w:val="32"/>
          <w:szCs w:val="32"/>
          <w:lang w:eastAsia="zh-CN"/>
        </w:rPr>
        <w:t>珠西</w:t>
      </w:r>
      <w:r>
        <w:rPr>
          <w:rFonts w:ascii="Times New Roman" w:hAnsi="仿宋_GB2312" w:eastAsia="仿宋_GB2312" w:cs="Times New Roman"/>
          <w:sz w:val="32"/>
          <w:szCs w:val="32"/>
        </w:rPr>
        <w:t>枢纽新城片区学校规划建设，落实优质学校培育计划。实施义务教育质量提升工程，推进集团化办学，深入推进城乡义务教育一体化发展。推进培养模式多样化，形成特色化教学、个性化成长、多渠道升学的教育体系。推动特殊教育公平发展。</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加强职业教育建设。</w:t>
      </w:r>
      <w:r>
        <w:rPr>
          <w:rFonts w:ascii="Times New Roman" w:hAnsi="仿宋_GB2312" w:eastAsia="仿宋_GB2312" w:cs="Times New Roman"/>
          <w:sz w:val="32"/>
          <w:szCs w:val="32"/>
        </w:rPr>
        <w:t>支持南方职院、华立技师学院、华商职院加快建设，结合本地支柱产业、特色产业重点建设主干专业。</w:t>
      </w:r>
      <w:r>
        <w:rPr>
          <w:rFonts w:hint="eastAsia" w:ascii="Times New Roman" w:hAnsi="仿宋_GB2312" w:eastAsia="仿宋_GB2312" w:cs="Times New Roman"/>
          <w:sz w:val="32"/>
          <w:szCs w:val="32"/>
          <w:lang w:eastAsia="zh-CN"/>
        </w:rPr>
        <w:t>着力</w:t>
      </w:r>
      <w:r>
        <w:rPr>
          <w:rFonts w:ascii="Times New Roman" w:hAnsi="仿宋_GB2312" w:eastAsia="仿宋_GB2312" w:cs="Times New Roman"/>
          <w:sz w:val="32"/>
          <w:szCs w:val="32"/>
        </w:rPr>
        <w:t>构建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1所中职学校+2所技师学院+3所高职院校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的现代</w:t>
      </w:r>
      <w:r>
        <w:rPr>
          <w:rFonts w:ascii="Times New Roman" w:hAnsi="仿宋_GB2312" w:eastAsia="仿宋_GB2312" w:cs="Times New Roman"/>
          <w:sz w:val="32"/>
          <w:szCs w:val="32"/>
        </w:rPr>
        <w:t>职业教育</w:t>
      </w:r>
      <w:r>
        <w:rPr>
          <w:rFonts w:hint="eastAsia" w:ascii="Times New Roman" w:hAnsi="仿宋_GB2312" w:eastAsia="仿宋_GB2312" w:cs="Times New Roman"/>
          <w:sz w:val="32"/>
          <w:szCs w:val="32"/>
          <w:lang w:eastAsia="zh-CN"/>
        </w:rPr>
        <w:t>体系</w:t>
      </w:r>
      <w:r>
        <w:rPr>
          <w:rFonts w:ascii="Times New Roman" w:hAnsi="仿宋_GB2312" w:eastAsia="仿宋_GB2312" w:cs="Times New Roman"/>
          <w:sz w:val="32"/>
          <w:szCs w:val="32"/>
        </w:rPr>
        <w:t>，以产教融合、校企合作为重点，建立职业教育质量评价体系、健全技能人才评价体系，促进劳动者整体技能素质明显提升。</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全面深化教育综合改革</w:t>
      </w:r>
      <w:r>
        <w:rPr>
          <w:rFonts w:ascii="Times New Roman" w:hAnsi="仿宋_GB2312" w:eastAsia="仿宋_GB2312" w:cs="Times New Roman"/>
          <w:sz w:val="32"/>
          <w:szCs w:val="32"/>
        </w:rPr>
        <w:t>。健全教育管理制度体系，深入推进教育治理体系和治理能力现代化。持续加大公共财政教育投入，落实教育支出</w:t>
      </w:r>
      <w:r>
        <w:rPr>
          <w:rFonts w:ascii="Times New Roman" w:hAnsi="Times New Roman" w:eastAsia="仿宋_GB2312" w:cs="Times New Roman"/>
          <w:sz w:val="32"/>
          <w:szCs w:val="32"/>
        </w:rPr>
        <w:t>“</w:t>
      </w:r>
      <w:r>
        <w:rPr>
          <w:rFonts w:ascii="Times New Roman" w:hAnsi="仿宋_GB2312" w:eastAsia="仿宋_GB2312" w:cs="Times New Roman"/>
          <w:sz w:val="32"/>
          <w:szCs w:val="32"/>
        </w:rPr>
        <w:t>两个只增不减</w:t>
      </w:r>
      <w:r>
        <w:rPr>
          <w:rFonts w:ascii="Times New Roman" w:hAnsi="Times New Roman" w:eastAsia="仿宋_GB2312" w:cs="Times New Roman"/>
          <w:sz w:val="32"/>
          <w:szCs w:val="32"/>
        </w:rPr>
        <w:t>”</w:t>
      </w:r>
      <w:r>
        <w:rPr>
          <w:rFonts w:ascii="Times New Roman" w:hAnsi="仿宋_GB2312" w:eastAsia="仿宋_GB2312" w:cs="Times New Roman"/>
          <w:sz w:val="32"/>
          <w:szCs w:val="32"/>
        </w:rPr>
        <w:t>。推进各类教育多元化发展，促进办学体制多样化，扩大优质资源，大幅度提升群众对教育事业的满意度。深化</w:t>
      </w:r>
      <w:r>
        <w:rPr>
          <w:rFonts w:ascii="Times New Roman" w:hAnsi="Times New Roman" w:eastAsia="仿宋_GB2312" w:cs="Times New Roman"/>
          <w:sz w:val="32"/>
          <w:szCs w:val="32"/>
        </w:rPr>
        <w:t>“</w:t>
      </w:r>
      <w:r>
        <w:rPr>
          <w:rFonts w:ascii="Times New Roman" w:hAnsi="仿宋_GB2312" w:eastAsia="仿宋_GB2312" w:cs="Times New Roman"/>
          <w:sz w:val="32"/>
          <w:szCs w:val="32"/>
        </w:rPr>
        <w:t>县管校聘</w:t>
      </w:r>
      <w:r>
        <w:rPr>
          <w:rFonts w:ascii="Times New Roman" w:hAnsi="Times New Roman" w:eastAsia="仿宋_GB2312" w:cs="Times New Roman"/>
          <w:sz w:val="32"/>
          <w:szCs w:val="32"/>
        </w:rPr>
        <w:t>”</w:t>
      </w:r>
      <w:r>
        <w:rPr>
          <w:rFonts w:ascii="Times New Roman" w:hAnsi="仿宋_GB2312" w:eastAsia="仿宋_GB2312" w:cs="Times New Roman"/>
          <w:sz w:val="32"/>
          <w:szCs w:val="32"/>
        </w:rPr>
        <w:t>管理改革，建设高素质专业化创新型教师队伍，加强教师发展中心建设，大力培育省、市级名师。落实教师福利待遇实现</w:t>
      </w:r>
      <w:r>
        <w:rPr>
          <w:rFonts w:ascii="Times New Roman" w:hAnsi="Times New Roman" w:eastAsia="仿宋_GB2312" w:cs="Times New Roman"/>
          <w:sz w:val="32"/>
          <w:szCs w:val="32"/>
        </w:rPr>
        <w:t>“</w:t>
      </w:r>
      <w:r>
        <w:rPr>
          <w:rFonts w:ascii="Times New Roman" w:hAnsi="仿宋_GB2312" w:eastAsia="仿宋_GB2312" w:cs="Times New Roman"/>
          <w:sz w:val="32"/>
          <w:szCs w:val="32"/>
        </w:rPr>
        <w:t>两个不低于或高于</w:t>
      </w:r>
      <w:r>
        <w:rPr>
          <w:rFonts w:ascii="Times New Roman" w:hAnsi="Times New Roman" w:eastAsia="仿宋_GB2312" w:cs="Times New Roman"/>
          <w:sz w:val="32"/>
          <w:szCs w:val="32"/>
        </w:rPr>
        <w:t>”</w:t>
      </w:r>
      <w:r>
        <w:rPr>
          <w:rFonts w:ascii="Times New Roman" w:hAnsi="仿宋_GB2312" w:eastAsia="仿宋_GB2312" w:cs="Times New Roman"/>
          <w:sz w:val="32"/>
          <w:szCs w:val="32"/>
        </w:rPr>
        <w:t>。推进学习型社会建设，大力普及老年教育，健全终身学习体系。</w:t>
      </w:r>
    </w:p>
    <w:p>
      <w:pPr>
        <w:pStyle w:val="3"/>
        <w:spacing w:line="560" w:lineRule="exact"/>
        <w:jc w:val="center"/>
        <w:rPr>
          <w:rFonts w:ascii="Times New Roman" w:hAnsi="Times New Roman" w:eastAsia="楷体_GB2312"/>
          <w:b w:val="0"/>
          <w:bCs w:val="0"/>
        </w:rPr>
      </w:pPr>
      <w:bookmarkStart w:id="271" w:name="_Toc19412"/>
      <w:bookmarkStart w:id="272" w:name="_Toc8489"/>
      <w:bookmarkStart w:id="273" w:name="_Toc60738064"/>
      <w:bookmarkStart w:id="274" w:name="_Toc15368"/>
      <w:bookmarkStart w:id="275" w:name="_Toc27029"/>
      <w:bookmarkStart w:id="276" w:name="_Toc61946361"/>
      <w:r>
        <w:rPr>
          <w:rFonts w:ascii="Times New Roman" w:hAnsi="Times New Roman" w:eastAsia="楷体_GB2312"/>
          <w:b w:val="0"/>
          <w:bCs w:val="0"/>
        </w:rPr>
        <w:t>第五节</w:t>
      </w:r>
      <w:bookmarkEnd w:id="271"/>
      <w:bookmarkEnd w:id="272"/>
      <w:bookmarkEnd w:id="273"/>
      <w:bookmarkEnd w:id="274"/>
      <w:bookmarkEnd w:id="275"/>
      <w:r>
        <w:rPr>
          <w:rFonts w:ascii="Times New Roman" w:hAnsi="Times New Roman" w:eastAsia="楷体_GB2312"/>
          <w:b w:val="0"/>
          <w:bCs w:val="0"/>
        </w:rPr>
        <w:t xml:space="preserve"> 推进卫生健康高质量发展</w:t>
      </w:r>
      <w:bookmarkEnd w:id="276"/>
    </w:p>
    <w:p>
      <w:pPr>
        <w:spacing w:line="560" w:lineRule="exact"/>
        <w:ind w:firstLine="643" w:firstLineChars="200"/>
        <w:jc w:val="both"/>
        <w:rPr>
          <w:rFonts w:ascii="Times New Roman" w:hAnsi="Times New Roman" w:eastAsia="仿宋_GB2312" w:cs="Times New Roman"/>
          <w:sz w:val="32"/>
          <w:szCs w:val="32"/>
        </w:rPr>
      </w:pPr>
      <w:bookmarkStart w:id="277" w:name="_Toc60819500"/>
      <w:bookmarkStart w:id="278" w:name="_Toc60820779"/>
      <w:bookmarkStart w:id="279" w:name="_Toc60738066"/>
      <w:bookmarkStart w:id="280" w:name="_Toc60820707"/>
      <w:bookmarkStart w:id="281" w:name="_Toc6014"/>
      <w:bookmarkStart w:id="282" w:name="_Toc21979"/>
      <w:bookmarkStart w:id="283" w:name="_Toc20678"/>
      <w:bookmarkStart w:id="284" w:name="_Toc60906384"/>
      <w:bookmarkStart w:id="285" w:name="_Toc23382"/>
      <w:bookmarkStart w:id="286" w:name="_Toc21699"/>
      <w:r>
        <w:rPr>
          <w:rFonts w:ascii="Times New Roman" w:hAnsi="Times New Roman" w:eastAsia="仿宋_GB2312" w:cs="Times New Roman"/>
          <w:b/>
          <w:sz w:val="32"/>
          <w:szCs w:val="32"/>
        </w:rPr>
        <w:t>完善疾病预防控制体系。</w:t>
      </w:r>
      <w:r>
        <w:rPr>
          <w:rFonts w:ascii="Times New Roman" w:hAnsi="Times New Roman" w:eastAsia="仿宋_GB2312" w:cs="Times New Roman"/>
          <w:sz w:val="32"/>
          <w:szCs w:val="32"/>
        </w:rPr>
        <w:t>完善疾控机构软硬件建设，加快新建疾病预防控制中心。</w:t>
      </w:r>
      <w:r>
        <w:rPr>
          <w:rFonts w:hint="eastAsia" w:ascii="Times New Roman" w:hAnsi="Times New Roman" w:eastAsia="仿宋_GB2312" w:cs="Times New Roman"/>
          <w:sz w:val="32"/>
          <w:szCs w:val="32"/>
          <w:lang w:eastAsia="zh-CN"/>
        </w:rPr>
        <w:t>建立健全重大疫情防控救治体系，</w:t>
      </w:r>
      <w:r>
        <w:rPr>
          <w:rFonts w:ascii="Times New Roman" w:hAnsi="Times New Roman" w:eastAsia="仿宋_GB2312" w:cs="Times New Roman"/>
          <w:sz w:val="32"/>
          <w:szCs w:val="32"/>
        </w:rPr>
        <w:t>完善突发公共卫生事件监测预警处置机制，分区分级全面建立公共卫生监测系统，推动医疗机构发热门诊建设。完善公共卫生类应急物资的生产、采购、储备运行机制，健全医疗救治、科技支撑、物资保障体系，建立卫生应急物资储备目录，提高应对突发公共卫生事件能力。</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加强重点群体健康服务。</w:t>
      </w:r>
      <w:r>
        <w:rPr>
          <w:rFonts w:ascii="Times New Roman" w:hAnsi="Times New Roman" w:eastAsia="仿宋_GB2312" w:cs="Times New Roman"/>
          <w:sz w:val="32"/>
          <w:szCs w:val="32"/>
        </w:rPr>
        <w:t>提升妇幼健康服务水平，做好出生缺陷防治、</w:t>
      </w:r>
      <w:r>
        <w:rPr>
          <w:rFonts w:ascii="Times New Roman" w:hAnsi="仿宋_GB2312" w:eastAsia="仿宋_GB2312" w:cs="Times New Roman"/>
          <w:sz w:val="32"/>
          <w:szCs w:val="32"/>
        </w:rPr>
        <w:t>城乡适龄妇女</w:t>
      </w:r>
      <w:r>
        <w:rPr>
          <w:rFonts w:ascii="Times New Roman" w:hAnsi="Times New Roman" w:eastAsia="仿宋_GB2312" w:cs="Times New Roman"/>
          <w:sz w:val="32"/>
          <w:szCs w:val="32"/>
        </w:rPr>
        <w:t>“两</w:t>
      </w:r>
      <w:r>
        <w:rPr>
          <w:rFonts w:ascii="Times New Roman" w:hAnsi="仿宋_GB2312" w:eastAsia="仿宋_GB2312" w:cs="Times New Roman"/>
          <w:sz w:val="32"/>
          <w:szCs w:val="32"/>
        </w:rPr>
        <w:t>癌</w:t>
      </w:r>
      <w:r>
        <w:rPr>
          <w:rFonts w:ascii="Times New Roman" w:hAnsi="Times New Roman" w:eastAsia="仿宋_GB2312" w:cs="Times New Roman"/>
          <w:sz w:val="32"/>
          <w:szCs w:val="32"/>
        </w:rPr>
        <w:t>”筛查、儿童青少年近视与肥胖防控等工作，</w:t>
      </w:r>
      <w:r>
        <w:rPr>
          <w:rFonts w:ascii="Times New Roman" w:hAnsi="仿宋_GB2312" w:eastAsia="仿宋_GB2312" w:cs="Times New Roman"/>
          <w:sz w:val="32"/>
          <w:szCs w:val="32"/>
        </w:rPr>
        <w:t>有条件地将</w:t>
      </w:r>
      <w:r>
        <w:rPr>
          <w:rFonts w:ascii="Times New Roman" w:hAnsi="Times New Roman" w:eastAsia="仿宋_GB2312" w:cs="Times New Roman"/>
          <w:sz w:val="32"/>
          <w:szCs w:val="32"/>
        </w:rPr>
        <w:t>HPV</w:t>
      </w:r>
      <w:r>
        <w:rPr>
          <w:rFonts w:ascii="Times New Roman" w:hAnsi="仿宋_GB2312" w:eastAsia="仿宋_GB2312" w:cs="Times New Roman"/>
          <w:sz w:val="32"/>
          <w:szCs w:val="32"/>
        </w:rPr>
        <w:t>疫苗接种纳入基本公共卫生服务范围。加强艾滋病、结核病、乙肝等重大疾病防治。</w:t>
      </w:r>
      <w:r>
        <w:rPr>
          <w:rFonts w:ascii="Times New Roman" w:hAnsi="Times New Roman" w:eastAsia="仿宋_GB2312" w:cs="Times New Roman"/>
          <w:sz w:val="32"/>
          <w:szCs w:val="32"/>
        </w:rPr>
        <w:t>提升健康教育，做好慢性病综合防控工作。加强精神卫生服务体系建设。深入开展爱国卫生运动，大力推动全民健身行动，促进全民养成文明健康生活方式。</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深化医药卫生体制改革。</w:t>
      </w:r>
      <w:r>
        <w:rPr>
          <w:rFonts w:ascii="Times New Roman" w:hAnsi="Times New Roman" w:eastAsia="仿宋_GB2312" w:cs="Times New Roman"/>
          <w:sz w:val="32"/>
          <w:szCs w:val="32"/>
        </w:rPr>
        <w:t>坚持基本医疗卫生事业公益属性，推动优质医疗资源扩容和区域均衡布局，加快我区紧密型县域医疗卫生共同体建设，强化基层公共卫生体系，组建以区人民医院、区中医院为牵头单位，乡镇卫生院和社区卫生服务中心、村卫生站为成员单位的医共体。</w:t>
      </w:r>
      <w:r>
        <w:rPr>
          <w:rFonts w:hint="eastAsia" w:ascii="Times New Roman" w:hAnsi="Times New Roman" w:eastAsia="仿宋_GB2312" w:cs="Times New Roman"/>
          <w:sz w:val="32"/>
          <w:szCs w:val="32"/>
        </w:rPr>
        <w:t>以“三医联动”为抓手，推进公立医院、药品联合集中采购改革，切实解决群众看病难看病贵问题。建成</w:t>
      </w:r>
      <w:r>
        <w:rPr>
          <w:rFonts w:ascii="Times New Roman" w:hAnsi="Times New Roman" w:eastAsia="仿宋_GB2312" w:cs="Times New Roman"/>
          <w:sz w:val="32"/>
          <w:szCs w:val="32"/>
        </w:rPr>
        <w:t>区妇幼保健院新院</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区人民医院传染病防治楼等项目建设，</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区人民医院创三甲。构建“互联网+医疗健康”服务新模式，建设贯通市、县、镇、村四级医疗卫生机构的远程医疗服务体系。加强人才队伍建设，提高基层卫生人才待遇，为基层培养一批专科骨干人才。</w:t>
      </w:r>
      <w:r>
        <w:rPr>
          <w:rFonts w:hint="eastAsia" w:ascii="Times New Roman" w:hAnsi="Times New Roman" w:eastAsia="仿宋_GB2312" w:cs="Times New Roman"/>
          <w:sz w:val="32"/>
          <w:szCs w:val="32"/>
        </w:rPr>
        <w:t>支持优质民营医疗机构发展，推广远程医疗。</w:t>
      </w:r>
    </w:p>
    <w:p>
      <w:pPr>
        <w:spacing w:line="560" w:lineRule="exact"/>
        <w:ind w:firstLine="643" w:firstLineChars="200"/>
        <w:jc w:val="both"/>
        <w:rPr>
          <w:rFonts w:ascii="Times New Roman" w:hAnsi="Times New Roman" w:eastAsia="仿宋_GB2312" w:cs="Times New Roman"/>
          <w:sz w:val="32"/>
        </w:rPr>
      </w:pPr>
      <w:r>
        <w:rPr>
          <w:rFonts w:ascii="Times New Roman" w:hAnsi="Times New Roman" w:eastAsia="仿宋_GB2312" w:cs="Times New Roman"/>
          <w:b/>
          <w:sz w:val="32"/>
          <w:szCs w:val="32"/>
        </w:rPr>
        <w:t>发展中医药事业。</w:t>
      </w:r>
      <w:r>
        <w:rPr>
          <w:rFonts w:ascii="Times New Roman" w:hAnsi="Times New Roman" w:eastAsia="仿宋_GB2312" w:cs="Times New Roman"/>
          <w:sz w:val="32"/>
          <w:szCs w:val="32"/>
        </w:rPr>
        <w:t>增强中医药服务体系支撑力，以珠西一流的三级甲等中医医院为目标，加快区中医院新院建设。支持社会力量举办具有特色优势的中医院医疗机构。推动中医药传承创新，强化中医在治未病、慢病等方面的研究应用。加快推广新会陈皮的药用价值。大力发展中医药康养新服务，推广“中医院+养老机构”“中医院+社区+居家养老”等模式。</w:t>
      </w:r>
    </w:p>
    <w:bookmarkEnd w:id="277"/>
    <w:bookmarkEnd w:id="278"/>
    <w:bookmarkEnd w:id="279"/>
    <w:bookmarkEnd w:id="280"/>
    <w:bookmarkEnd w:id="281"/>
    <w:bookmarkEnd w:id="282"/>
    <w:bookmarkEnd w:id="283"/>
    <w:bookmarkEnd w:id="284"/>
    <w:bookmarkEnd w:id="285"/>
    <w:p>
      <w:pPr>
        <w:pStyle w:val="3"/>
        <w:spacing w:line="560" w:lineRule="exact"/>
        <w:jc w:val="center"/>
        <w:rPr>
          <w:rFonts w:ascii="Times New Roman" w:hAnsi="Times New Roman" w:eastAsia="楷体_GB2312"/>
          <w:b w:val="0"/>
          <w:bCs w:val="0"/>
        </w:rPr>
      </w:pPr>
      <w:bookmarkStart w:id="287" w:name="_Toc61946362"/>
      <w:r>
        <w:rPr>
          <w:rFonts w:ascii="Times New Roman" w:hAnsi="Times New Roman" w:eastAsia="楷体_GB2312"/>
          <w:b w:val="0"/>
          <w:bCs w:val="0"/>
        </w:rPr>
        <w:t>第六节 加强和创新社会治理</w:t>
      </w:r>
      <w:bookmarkEnd w:id="287"/>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健全城乡基层治理体系。</w:t>
      </w:r>
      <w:r>
        <w:rPr>
          <w:rFonts w:ascii="Times New Roman" w:hAnsi="Times New Roman" w:eastAsia="仿宋_GB2312" w:cs="Times New Roman"/>
          <w:sz w:val="32"/>
          <w:szCs w:val="32"/>
        </w:rPr>
        <w:t>加强和创新市域社会治理，推进市域社会治理现代化试点工作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探索具有新会特色、市域特点、时代特征的社会治理现代化新模式，完善党委领导、政府负责、民主协商、社会协同、公众参与、法治保障、科技支撑的社会治理体系。完善基层民主协商制度，实现政府治理同社会调节、居民自治良性互动，建设人人有责、人人尽责、人人享有的社会治理共同体，确保人民安居乐业、社会安定有序。</w:t>
      </w:r>
    </w:p>
    <w:p>
      <w:pPr>
        <w:spacing w:line="560" w:lineRule="exact"/>
        <w:ind w:firstLine="643" w:firstLineChars="200"/>
        <w:jc w:val="both"/>
        <w:rPr>
          <w:rFonts w:ascii="Times New Roman" w:hAnsi="Times New Roman" w:eastAsia="仿宋_GB2312" w:cs="Times New Roman"/>
          <w:sz w:val="32"/>
        </w:rPr>
      </w:pPr>
      <w:r>
        <w:rPr>
          <w:rFonts w:ascii="Times New Roman" w:hAnsi="Times New Roman" w:eastAsia="仿宋_GB2312" w:cs="Times New Roman"/>
          <w:b/>
          <w:sz w:val="32"/>
          <w:szCs w:val="32"/>
        </w:rPr>
        <w:t>全面促进社会融合。</w:t>
      </w:r>
      <w:r>
        <w:rPr>
          <w:rFonts w:ascii="Times New Roman" w:hAnsi="Times New Roman" w:eastAsia="仿宋_GB2312" w:cs="Times New Roman"/>
          <w:sz w:val="32"/>
          <w:szCs w:val="32"/>
        </w:rPr>
        <w:t>不断拓展外来人口参与社会治理的途径方法，发挥群团组织和社会组织在社会治理中的作用，畅通和规范市场主体、新社会阶层、社会工作者和志愿者等参与社会治理的途径。增强城乡社区服务功能，推动社区居民自我服务与社区公共服务、志愿服务、专业服务、便民利民服务协调发展。</w:t>
      </w:r>
    </w:p>
    <w:p>
      <w:pPr>
        <w:spacing w:line="560" w:lineRule="exact"/>
        <w:ind w:firstLine="643" w:firstLineChars="200"/>
        <w:jc w:val="both"/>
        <w:rPr>
          <w:rFonts w:ascii="Times New Roman" w:hAnsi="Times New Roman" w:eastAsia="仿宋_GB2312" w:cs="Times New Roman"/>
          <w:bCs/>
          <w:sz w:val="32"/>
        </w:rPr>
      </w:pPr>
      <w:r>
        <w:rPr>
          <w:rFonts w:ascii="Times New Roman" w:hAnsi="Times New Roman" w:eastAsia="仿宋_GB2312" w:cs="Times New Roman"/>
          <w:b/>
          <w:sz w:val="32"/>
          <w:szCs w:val="32"/>
        </w:rPr>
        <w:t>推动社会治理重心向基层下移。</w:t>
      </w:r>
      <w:r>
        <w:rPr>
          <w:rFonts w:ascii="Times New Roman" w:hAnsi="Times New Roman" w:eastAsia="仿宋_GB2312" w:cs="Times New Roman"/>
          <w:sz w:val="32"/>
          <w:szCs w:val="32"/>
        </w:rPr>
        <w:t>向基层放权赋能，加强城乡社区治理和服务体系建设，加强基层社会治理队伍建设，构建网格化管理、精细化服务、信息化支撑、开放共享的基层管理服务平台。纵深推进镇（街）综合行政执法改革，推动行政执法权限和力量向基层延伸和下沉。</w:t>
      </w:r>
    </w:p>
    <w:p>
      <w:pPr>
        <w:rPr>
          <w:rFonts w:ascii="Times New Roman" w:hAnsi="Times New Roman" w:cs="Times New Roman"/>
          <w:szCs w:val="32"/>
        </w:rPr>
      </w:pPr>
      <w:r>
        <w:rPr>
          <w:rFonts w:ascii="Times New Roman" w:hAnsi="Times New Roman" w:cs="Times New Roman"/>
        </w:rPr>
        <w:br w:type="page"/>
      </w:r>
    </w:p>
    <w:p>
      <w:pPr>
        <w:spacing w:before="340" w:after="330" w:line="560" w:lineRule="exact"/>
        <w:ind w:firstLine="0"/>
        <w:jc w:val="center"/>
        <w:outlineLvl w:val="0"/>
        <w:rPr>
          <w:rFonts w:ascii="Times New Roman" w:hAnsi="Times New Roman" w:cs="Times New Roman"/>
          <w:sz w:val="32"/>
          <w:szCs w:val="32"/>
        </w:rPr>
      </w:pPr>
      <w:bookmarkStart w:id="288" w:name="_Toc61946363"/>
      <w:r>
        <w:rPr>
          <w:rFonts w:ascii="Times New Roman" w:hAnsi="黑体" w:eastAsia="黑体" w:cs="Times New Roman"/>
          <w:sz w:val="32"/>
          <w:szCs w:val="32"/>
        </w:rPr>
        <w:t>第十三章</w:t>
      </w:r>
      <w:r>
        <w:rPr>
          <w:rFonts w:hint="eastAsia" w:ascii="Times New Roman" w:hAnsi="黑体" w:eastAsia="黑体" w:cs="Times New Roman"/>
          <w:sz w:val="32"/>
          <w:szCs w:val="32"/>
          <w:lang w:val="en-US" w:eastAsia="zh-CN"/>
        </w:rPr>
        <w:t xml:space="preserve"> </w:t>
      </w:r>
      <w:r>
        <w:rPr>
          <w:rFonts w:ascii="Times New Roman" w:hAnsi="黑体" w:eastAsia="黑体" w:cs="Times New Roman"/>
          <w:sz w:val="32"/>
          <w:szCs w:val="32"/>
        </w:rPr>
        <w:t>统筹发展和安全</w:t>
      </w:r>
      <w:r>
        <w:rPr>
          <w:rFonts w:hint="eastAsia" w:ascii="Times New Roman" w:hAnsi="黑体" w:eastAsia="黑体" w:cs="Times New Roman"/>
          <w:sz w:val="32"/>
          <w:szCs w:val="32"/>
          <w:lang w:val="en-US" w:eastAsia="zh-CN"/>
        </w:rPr>
        <w:t xml:space="preserve"> </w:t>
      </w:r>
      <w:r>
        <w:rPr>
          <w:rFonts w:ascii="Times New Roman" w:hAnsi="黑体" w:eastAsia="黑体" w:cs="Times New Roman"/>
          <w:sz w:val="32"/>
          <w:szCs w:val="32"/>
        </w:rPr>
        <w:t>建设更高水平的平安新会</w:t>
      </w:r>
      <w:bookmarkEnd w:id="288"/>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全面贯彻总体国家安全观，</w:t>
      </w:r>
      <w:r>
        <w:rPr>
          <w:rFonts w:hint="eastAsia" w:ascii="Times New Roman" w:hAnsi="仿宋_GB2312" w:eastAsia="仿宋_GB2312" w:cs="Times New Roman"/>
          <w:sz w:val="32"/>
          <w:szCs w:val="32"/>
        </w:rPr>
        <w:t>坚决防范和化解影响现代化进程的各种风险，把安全发展贯穿发展各领域和全过程，</w:t>
      </w:r>
      <w:r>
        <w:rPr>
          <w:rFonts w:ascii="Times New Roman" w:hAnsi="仿宋_GB2312" w:eastAsia="仿宋_GB2312" w:cs="Times New Roman"/>
          <w:sz w:val="32"/>
          <w:szCs w:val="32"/>
        </w:rPr>
        <w:t>为高质量发展创造安全的政治环境、稳定的社会环境、公正的法治环境。</w:t>
      </w:r>
    </w:p>
    <w:bookmarkEnd w:id="286"/>
    <w:p>
      <w:pPr>
        <w:pStyle w:val="3"/>
        <w:spacing w:line="560" w:lineRule="exact"/>
        <w:jc w:val="center"/>
        <w:rPr>
          <w:rFonts w:ascii="Times New Roman" w:hAnsi="Times New Roman" w:eastAsia="楷体_GB2312"/>
          <w:b w:val="0"/>
        </w:rPr>
      </w:pPr>
      <w:bookmarkStart w:id="289" w:name="_Toc12696"/>
      <w:bookmarkStart w:id="290" w:name="_Toc26278"/>
      <w:bookmarkStart w:id="291" w:name="_Toc61946364"/>
      <w:bookmarkStart w:id="292" w:name="_Toc60738069"/>
      <w:bookmarkStart w:id="293" w:name="_Toc27738"/>
      <w:bookmarkStart w:id="294" w:name="_Toc6313"/>
      <w:r>
        <w:rPr>
          <w:rFonts w:ascii="Times New Roman" w:hAnsi="Times New Roman" w:eastAsia="楷体_GB2312"/>
          <w:b w:val="0"/>
        </w:rPr>
        <w:t>第一节 坚决守住安全发展底线</w:t>
      </w:r>
      <w:bookmarkEnd w:id="289"/>
      <w:bookmarkEnd w:id="290"/>
      <w:bookmarkEnd w:id="291"/>
      <w:bookmarkEnd w:id="292"/>
      <w:bookmarkEnd w:id="293"/>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维护国家政治安全。</w:t>
      </w:r>
      <w:r>
        <w:rPr>
          <w:rFonts w:ascii="Times New Roman" w:hAnsi="仿宋_GB2312" w:eastAsia="仿宋_GB2312" w:cs="Times New Roman"/>
          <w:sz w:val="32"/>
          <w:szCs w:val="32"/>
        </w:rPr>
        <w:t>坚决维护国家政权安全、制度安全，把维护政治安全摆在平安新会建设首位，落实风险隐患排查预警、源头稳控和依法处置措施，严密防范和严厉打击敌对势力渗透、破坏、颠覆、分裂活动。加强意识形态阵地建设和管理。</w:t>
      </w:r>
      <w:r>
        <w:rPr>
          <w:rFonts w:ascii="Times New Roman" w:hAnsi="Times New Roman" w:eastAsia="仿宋_GB2312" w:cs="Times New Roman"/>
          <w:sz w:val="32"/>
          <w:szCs w:val="32"/>
        </w:rPr>
        <w:t>加强国家安全人民防线建设。</w:t>
      </w:r>
    </w:p>
    <w:p>
      <w:pPr>
        <w:spacing w:line="560" w:lineRule="exact"/>
        <w:ind w:firstLine="643" w:firstLineChars="200"/>
        <w:jc w:val="both"/>
        <w:rPr>
          <w:rFonts w:ascii="Times New Roman" w:hAnsi="Times New Roman" w:eastAsia="仿宋_GB2312" w:cs="Times New Roman"/>
          <w:sz w:val="32"/>
          <w:szCs w:val="32"/>
        </w:rPr>
      </w:pPr>
      <w:r>
        <w:rPr>
          <w:rFonts w:ascii="Times New Roman" w:hAnsi="仿宋_GB2312" w:eastAsia="仿宋_GB2312" w:cs="Times New Roman"/>
          <w:b/>
          <w:sz w:val="32"/>
          <w:szCs w:val="32"/>
        </w:rPr>
        <w:t>确保经济安全。</w:t>
      </w:r>
      <w:r>
        <w:rPr>
          <w:rFonts w:ascii="Times New Roman" w:hAnsi="仿宋_GB2312" w:eastAsia="仿宋_GB2312" w:cs="Times New Roman"/>
          <w:sz w:val="32"/>
          <w:szCs w:val="32"/>
        </w:rPr>
        <w:t>加强经济安全风险预警、防控机制和能力建设，实现重要产业、基础设施等关键领域安全可控，推动稳增长和防风险长期均衡。确保粮食安全，建立预防为主、广泛覆盖、平急结合、协同应对的粮食应急体系。保障能源和战略性矿产资源安全。维护水利、电力、供水、油气、交通、通信、网络、金融等重要基础设施安全。着力防范化解金融、债务领域风险，防止经济领域风险向社会、民生等领域传导。严控政府隐性债务，坚决守住不发生系统性金融风险底线。</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健全公共安全体系。</w:t>
      </w:r>
      <w:r>
        <w:rPr>
          <w:rFonts w:ascii="Times New Roman" w:hAnsi="仿宋_GB2312" w:eastAsia="仿宋_GB2312" w:cs="Times New Roman"/>
          <w:sz w:val="32"/>
          <w:szCs w:val="32"/>
        </w:rPr>
        <w:t>牢固树立安全发展理念，充分保障人民生命安全。完善公共卫生与医疗应急保障体系，增强突发重大传染病诊治能力。落实安全生产责任制，实施危险化学品重大危险源企业全过程监管，重点抓好消防、道路交通安全、建筑施工安全等工作，坚决遏制重特大事故发生。持续推进省食品安全城市建设，大力实施餐饮业质量安全提升行动，加强食品药品安全监管，健全食品药品质量追溯制度和体系。完善应急管理体系，建设防减救应急指挥平台，完善应急预警信息发布系统，加强应急物资储备，进一步提升防灾减灾救灾能力。以创建</w:t>
      </w:r>
      <w:r>
        <w:rPr>
          <w:rFonts w:ascii="Times New Roman" w:hAnsi="Times New Roman" w:eastAsia="仿宋_GB2312" w:cs="Times New Roman"/>
          <w:sz w:val="32"/>
          <w:szCs w:val="32"/>
        </w:rPr>
        <w:t>“</w:t>
      </w:r>
      <w:r>
        <w:rPr>
          <w:rFonts w:ascii="Times New Roman" w:hAnsi="仿宋_GB2312" w:eastAsia="仿宋_GB2312" w:cs="Times New Roman"/>
          <w:sz w:val="32"/>
          <w:szCs w:val="32"/>
        </w:rPr>
        <w:t>全国气象科普教育基地</w:t>
      </w:r>
      <w:r>
        <w:rPr>
          <w:rFonts w:ascii="Times New Roman" w:hAnsi="Times New Roman" w:eastAsia="仿宋_GB2312" w:cs="Times New Roman"/>
          <w:sz w:val="32"/>
          <w:szCs w:val="32"/>
        </w:rPr>
        <w:t>”</w:t>
      </w:r>
      <w:r>
        <w:rPr>
          <w:rFonts w:ascii="Times New Roman" w:hAnsi="仿宋_GB2312" w:eastAsia="仿宋_GB2312" w:cs="Times New Roman"/>
          <w:sz w:val="32"/>
          <w:szCs w:val="32"/>
        </w:rPr>
        <w:t>为目标，建设新会气象防灾减灾主题公园，提高全民防灾减灾意识和能力。</w:t>
      </w:r>
    </w:p>
    <w:bookmarkEnd w:id="294"/>
    <w:p>
      <w:pPr>
        <w:spacing w:beforeLines="100" w:afterLines="100" w:line="560" w:lineRule="exact"/>
        <w:ind w:firstLine="0"/>
        <w:jc w:val="center"/>
        <w:outlineLvl w:val="1"/>
        <w:rPr>
          <w:rFonts w:ascii="Times New Roman" w:hAnsi="Times New Roman" w:eastAsia="楷体_GB2312" w:cs="Times New Roman"/>
          <w:bCs/>
          <w:sz w:val="32"/>
          <w:szCs w:val="32"/>
        </w:rPr>
      </w:pPr>
      <w:bookmarkStart w:id="295" w:name="_Toc17204"/>
      <w:bookmarkStart w:id="296" w:name="_Toc61946365"/>
      <w:bookmarkStart w:id="297" w:name="_Toc27791"/>
      <w:bookmarkStart w:id="298" w:name="_Toc1626"/>
      <w:bookmarkStart w:id="299" w:name="_Toc17818"/>
      <w:bookmarkStart w:id="300" w:name="_Toc60738071"/>
      <w:r>
        <w:rPr>
          <w:rFonts w:ascii="Times New Roman" w:hAnsi="Times New Roman" w:eastAsia="楷体_GB2312" w:cs="Times New Roman"/>
          <w:bCs/>
          <w:sz w:val="32"/>
          <w:szCs w:val="32"/>
        </w:rPr>
        <w:t>第二节 推进法治新会建设</w:t>
      </w:r>
      <w:bookmarkEnd w:id="295"/>
      <w:bookmarkEnd w:id="296"/>
      <w:bookmarkEnd w:id="297"/>
      <w:bookmarkEnd w:id="298"/>
    </w:p>
    <w:p>
      <w:pPr>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创建法治示范政府。</w:t>
      </w:r>
      <w:r>
        <w:rPr>
          <w:rFonts w:ascii="Times New Roman" w:hAnsi="仿宋_GB2312" w:eastAsia="仿宋_GB2312" w:cs="Times New Roman"/>
          <w:sz w:val="32"/>
          <w:szCs w:val="32"/>
        </w:rPr>
        <w:t>提升政府依法行政能力，完善重大行政决策程序，落实行政规范性文件审查制度，及时修改和废止不适应经济社会发展的政府规章和规范性文件。健全区政府法律顾问制度。全面落实司法责任制，深化以审判为中心的刑事诉讼制度改革。严格规范公正文明执法，健全镇街综合行政执法体制。全面落实</w:t>
      </w:r>
      <w:r>
        <w:rPr>
          <w:rFonts w:ascii="Times New Roman" w:hAnsi="Times New Roman" w:eastAsia="仿宋_GB2312" w:cs="Times New Roman"/>
          <w:sz w:val="32"/>
          <w:szCs w:val="32"/>
        </w:rPr>
        <w:t>“</w:t>
      </w:r>
      <w:r>
        <w:rPr>
          <w:rFonts w:ascii="Times New Roman" w:hAnsi="仿宋_GB2312" w:eastAsia="仿宋_GB2312" w:cs="Times New Roman"/>
          <w:sz w:val="32"/>
          <w:szCs w:val="32"/>
        </w:rPr>
        <w:t>谁执法谁普法、谁主管谁普法</w:t>
      </w:r>
      <w:r>
        <w:rPr>
          <w:rFonts w:ascii="Times New Roman" w:hAnsi="Times New Roman" w:eastAsia="仿宋_GB2312" w:cs="Times New Roman"/>
          <w:sz w:val="32"/>
          <w:szCs w:val="32"/>
        </w:rPr>
        <w:t>”</w:t>
      </w:r>
      <w:r>
        <w:rPr>
          <w:rFonts w:ascii="Times New Roman" w:hAnsi="仿宋_GB2312" w:eastAsia="仿宋_GB2312" w:cs="Times New Roman"/>
          <w:sz w:val="32"/>
          <w:szCs w:val="32"/>
        </w:rPr>
        <w:t>普法责任制，探索建立领导干部学法清单制度。加大关系群众切身利益的重点领域执法力度，依法惩处各类违法行为。</w:t>
      </w:r>
    </w:p>
    <w:p>
      <w:pPr>
        <w:spacing w:line="560" w:lineRule="exact"/>
        <w:ind w:firstLine="643"/>
        <w:rPr>
          <w:rFonts w:ascii="Times New Roman" w:hAnsi="Times New Roman" w:eastAsia="仿宋_GB2312" w:cs="Times New Roman"/>
          <w:sz w:val="32"/>
          <w:szCs w:val="32"/>
        </w:rPr>
      </w:pPr>
      <w:r>
        <w:rPr>
          <w:rFonts w:ascii="Times New Roman" w:hAnsi="仿宋_GB2312" w:eastAsia="仿宋_GB2312" w:cs="Times New Roman"/>
          <w:b/>
          <w:sz w:val="32"/>
          <w:szCs w:val="32"/>
        </w:rPr>
        <w:t>全面建设法治新会。</w:t>
      </w:r>
      <w:r>
        <w:rPr>
          <w:rFonts w:ascii="Times New Roman" w:hAnsi="仿宋_GB2312" w:eastAsia="仿宋_GB2312" w:cs="Times New Roman"/>
          <w:sz w:val="32"/>
          <w:szCs w:val="32"/>
        </w:rPr>
        <w:t>继续探索完善多元解纷机制，着力构建普惠均等、便捷高效、智能精准的政法公共服务体系，建设德才兼备的高素质法治工作队伍。健全公共法律服务体系，提高公共法律服务质量。抓好法治政府建设示范创建工作。</w:t>
      </w:r>
      <w:r>
        <w:rPr>
          <w:rFonts w:ascii="Times New Roman" w:hAnsi="Times New Roman" w:eastAsia="仿宋_GB2312" w:cs="Times New Roman"/>
          <w:sz w:val="32"/>
          <w:szCs w:val="32"/>
        </w:rPr>
        <w:t>营造法治社会氛围，</w:t>
      </w:r>
      <w:r>
        <w:rPr>
          <w:rFonts w:ascii="Times New Roman" w:hAnsi="仿宋_GB2312" w:eastAsia="仿宋_GB2312" w:cs="Times New Roman"/>
          <w:sz w:val="32"/>
          <w:szCs w:val="32"/>
        </w:rPr>
        <w:t>全面推进宪法和民法典的学习宣传实施，加强社会主义法治文化建设。深入开展</w:t>
      </w:r>
      <w:r>
        <w:rPr>
          <w:rFonts w:ascii="Times New Roman" w:hAnsi="Times New Roman" w:eastAsia="仿宋_GB2312" w:cs="Times New Roman"/>
          <w:sz w:val="32"/>
          <w:szCs w:val="32"/>
        </w:rPr>
        <w:t>“</w:t>
      </w:r>
      <w:r>
        <w:rPr>
          <w:rFonts w:ascii="Times New Roman" w:hAnsi="仿宋_GB2312" w:eastAsia="仿宋_GB2312" w:cs="Times New Roman"/>
          <w:sz w:val="32"/>
          <w:szCs w:val="32"/>
        </w:rPr>
        <w:t>八五</w:t>
      </w:r>
      <w:r>
        <w:rPr>
          <w:rFonts w:ascii="Times New Roman" w:hAnsi="Times New Roman" w:eastAsia="仿宋_GB2312" w:cs="Times New Roman"/>
          <w:sz w:val="32"/>
          <w:szCs w:val="32"/>
        </w:rPr>
        <w:t>”</w:t>
      </w:r>
      <w:r>
        <w:rPr>
          <w:rFonts w:ascii="Times New Roman" w:hAnsi="仿宋_GB2312" w:eastAsia="仿宋_GB2312" w:cs="Times New Roman"/>
          <w:sz w:val="32"/>
          <w:szCs w:val="32"/>
        </w:rPr>
        <w:t>普法，进一步加强法律</w:t>
      </w:r>
      <w:r>
        <w:rPr>
          <w:rFonts w:ascii="Times New Roman" w:hAnsi="Times New Roman" w:eastAsia="仿宋_GB2312" w:cs="Times New Roman"/>
          <w:sz w:val="32"/>
          <w:szCs w:val="32"/>
        </w:rPr>
        <w:t>“</w:t>
      </w:r>
      <w:r>
        <w:rPr>
          <w:rFonts w:ascii="Times New Roman" w:hAnsi="仿宋_GB2312" w:eastAsia="仿宋_GB2312" w:cs="Times New Roman"/>
          <w:sz w:val="32"/>
          <w:szCs w:val="32"/>
        </w:rPr>
        <w:t>六进</w:t>
      </w:r>
      <w:r>
        <w:rPr>
          <w:rFonts w:ascii="Times New Roman" w:hAnsi="Times New Roman" w:eastAsia="仿宋_GB2312" w:cs="Times New Roman"/>
          <w:sz w:val="32"/>
          <w:szCs w:val="32"/>
        </w:rPr>
        <w:t>”</w:t>
      </w:r>
      <w:r>
        <w:rPr>
          <w:rFonts w:ascii="Times New Roman" w:hAnsi="仿宋_GB2312" w:eastAsia="仿宋_GB2312" w:cs="Times New Roman"/>
          <w:sz w:val="32"/>
          <w:szCs w:val="32"/>
        </w:rPr>
        <w:t>工作，营造人人尊法学法守法用法的社会氛围。</w:t>
      </w:r>
    </w:p>
    <w:p>
      <w:pPr>
        <w:pStyle w:val="3"/>
        <w:spacing w:line="560" w:lineRule="exact"/>
        <w:jc w:val="center"/>
        <w:rPr>
          <w:rFonts w:ascii="Times New Roman" w:hAnsi="Times New Roman" w:eastAsia="楷体_GB2312"/>
          <w:b w:val="0"/>
        </w:rPr>
      </w:pPr>
      <w:bookmarkStart w:id="301" w:name="_Toc61946366"/>
      <w:r>
        <w:rPr>
          <w:rFonts w:ascii="Times New Roman" w:hAnsi="Times New Roman" w:eastAsia="楷体_GB2312"/>
          <w:b w:val="0"/>
        </w:rPr>
        <w:t>第三节 维护社会稳定和安全</w:t>
      </w:r>
      <w:bookmarkEnd w:id="301"/>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防范化解社会风险。</w:t>
      </w:r>
      <w:r>
        <w:rPr>
          <w:rFonts w:ascii="Times New Roman" w:hAnsi="Times New Roman" w:eastAsia="仿宋_GB2312" w:cs="Times New Roman"/>
          <w:sz w:val="32"/>
          <w:szCs w:val="32"/>
        </w:rPr>
        <w:t>正确处理新形势下人民内部矛盾，</w:t>
      </w:r>
      <w:r>
        <w:rPr>
          <w:rFonts w:ascii="Times New Roman" w:hAnsi="仿宋_GB2312" w:eastAsia="仿宋_GB2312" w:cs="Times New Roman"/>
          <w:sz w:val="32"/>
          <w:szCs w:val="32"/>
        </w:rPr>
        <w:t>坚持和发展新时代</w:t>
      </w:r>
      <w:r>
        <w:rPr>
          <w:rFonts w:ascii="Times New Roman" w:hAnsi="Times New Roman" w:eastAsia="仿宋_GB2312" w:cs="Times New Roman"/>
          <w:sz w:val="32"/>
          <w:szCs w:val="32"/>
        </w:rPr>
        <w:t>“</w:t>
      </w:r>
      <w:r>
        <w:rPr>
          <w:rFonts w:ascii="Times New Roman" w:hAnsi="仿宋_GB2312" w:eastAsia="仿宋_GB2312" w:cs="Times New Roman"/>
          <w:sz w:val="32"/>
          <w:szCs w:val="32"/>
        </w:rPr>
        <w:t>枫桥经验</w:t>
      </w:r>
      <w:r>
        <w:rPr>
          <w:rFonts w:ascii="Times New Roman" w:hAnsi="Times New Roman" w:eastAsia="仿宋_GB2312" w:cs="Times New Roman"/>
          <w:sz w:val="32"/>
          <w:szCs w:val="32"/>
        </w:rPr>
        <w:t>”</w:t>
      </w:r>
      <w:r>
        <w:rPr>
          <w:rFonts w:ascii="Times New Roman" w:hAnsi="仿宋_GB2312" w:eastAsia="仿宋_GB2312" w:cs="Times New Roman"/>
          <w:sz w:val="32"/>
          <w:szCs w:val="32"/>
        </w:rPr>
        <w:t>，全面加强</w:t>
      </w:r>
      <w:r>
        <w:rPr>
          <w:rFonts w:ascii="Times New Roman" w:hAnsi="Times New Roman" w:eastAsia="仿宋_GB2312" w:cs="Times New Roman"/>
          <w:sz w:val="32"/>
          <w:szCs w:val="32"/>
        </w:rPr>
        <w:t>“</w:t>
      </w:r>
      <w:r>
        <w:rPr>
          <w:rFonts w:ascii="Times New Roman" w:hAnsi="仿宋_GB2312" w:eastAsia="仿宋_GB2312" w:cs="Times New Roman"/>
          <w:sz w:val="32"/>
          <w:szCs w:val="32"/>
        </w:rPr>
        <w:t>中心</w:t>
      </w:r>
      <w:r>
        <w:rPr>
          <w:rFonts w:ascii="Times New Roman" w:hAnsi="Times New Roman" w:eastAsia="仿宋_GB2312" w:cs="Times New Roman"/>
          <w:sz w:val="32"/>
          <w:szCs w:val="32"/>
        </w:rPr>
        <w:t>+</w:t>
      </w:r>
      <w:r>
        <w:rPr>
          <w:rFonts w:ascii="Times New Roman" w:hAnsi="仿宋_GB2312" w:eastAsia="仿宋_GB2312" w:cs="Times New Roman"/>
          <w:sz w:val="32"/>
          <w:szCs w:val="32"/>
        </w:rPr>
        <w:t>网格化</w:t>
      </w:r>
      <w:r>
        <w:rPr>
          <w:rFonts w:ascii="Times New Roman" w:hAnsi="Times New Roman" w:eastAsia="仿宋_GB2312" w:cs="Times New Roman"/>
          <w:sz w:val="32"/>
          <w:szCs w:val="32"/>
        </w:rPr>
        <w:t>+</w:t>
      </w:r>
      <w:r>
        <w:rPr>
          <w:rFonts w:ascii="Times New Roman" w:hAnsi="仿宋_GB2312" w:eastAsia="仿宋_GB2312" w:cs="Times New Roman"/>
          <w:sz w:val="32"/>
          <w:szCs w:val="32"/>
        </w:rPr>
        <w:t>信息化</w:t>
      </w:r>
      <w:r>
        <w:rPr>
          <w:rFonts w:ascii="Times New Roman" w:hAnsi="Times New Roman" w:eastAsia="仿宋_GB2312" w:cs="Times New Roman"/>
          <w:sz w:val="32"/>
          <w:szCs w:val="32"/>
        </w:rPr>
        <w:t>”</w:t>
      </w:r>
      <w:r>
        <w:rPr>
          <w:rFonts w:ascii="Times New Roman" w:hAnsi="仿宋_GB2312" w:eastAsia="仿宋_GB2312" w:cs="Times New Roman"/>
          <w:sz w:val="32"/>
          <w:szCs w:val="32"/>
        </w:rPr>
        <w:t>建设，推动区、镇两级社会治理综合指挥中心（综治中心）规范化建设全覆盖。健全区、镇两级社会矛盾排查预警机制，进一步畅通群众诉求渠道，把问题解决在基层一线、把矛盾化解在萌芽状态。</w:t>
      </w:r>
      <w:r>
        <w:rPr>
          <w:rFonts w:ascii="Times New Roman" w:hAnsi="Times New Roman" w:eastAsia="仿宋_GB2312" w:cs="Times New Roman"/>
          <w:sz w:val="32"/>
          <w:szCs w:val="32"/>
        </w:rPr>
        <w:t>健全社会心理服务体系和危机干预机制。</w:t>
      </w:r>
    </w:p>
    <w:p>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加强社会治安防控体系建设。</w:t>
      </w:r>
      <w:r>
        <w:rPr>
          <w:rFonts w:ascii="Times New Roman" w:hAnsi="Times New Roman" w:eastAsia="仿宋_GB2312" w:cs="Times New Roman"/>
          <w:sz w:val="32"/>
          <w:szCs w:val="32"/>
        </w:rPr>
        <w:t>坚决防范和打击暴力恐怖、黑恶势力、新型网络犯罪和跨国犯罪，建立常态化扫黑除恶机制。</w:t>
      </w:r>
      <w:r>
        <w:rPr>
          <w:rFonts w:ascii="Times New Roman" w:hAnsi="仿宋_GB2312" w:eastAsia="仿宋_GB2312" w:cs="Times New Roman"/>
          <w:sz w:val="32"/>
          <w:szCs w:val="32"/>
        </w:rPr>
        <w:t>重拳整治毒品突出问题。</w:t>
      </w:r>
      <w:r>
        <w:rPr>
          <w:rFonts w:ascii="Times New Roman" w:hAnsi="Times New Roman" w:eastAsia="仿宋_GB2312" w:cs="Times New Roman"/>
          <w:sz w:val="32"/>
          <w:szCs w:val="32"/>
        </w:rPr>
        <w:t>建立健全新型网络安全风险防控体系，构建网络社会综合防控体系，健全打击遏制网络犯罪体系。坚持专群结合，创新社会动员机制，形成更加开放、灵活、有效的群防群治格局。加强立体化、智能化社会治安防控体系建设，补齐政法基础设施短板，完善看守所等公安监管场所基础设施建设。</w:t>
      </w:r>
    </w:p>
    <w:p>
      <w:pPr>
        <w:widowControl/>
        <w:pBdr>
          <w:top w:val="none" w:color="auto" w:sz="0" w:space="0"/>
          <w:left w:val="none" w:color="auto" w:sz="0" w:space="0"/>
          <w:bottom w:val="none" w:color="auto" w:sz="0" w:space="0"/>
          <w:right w:val="none" w:color="auto" w:sz="0" w:space="0"/>
        </w:pBdr>
        <w:adjustRightInd/>
        <w:ind w:firstLine="0"/>
        <w:rPr>
          <w:rFonts w:ascii="Times New Roman" w:hAnsi="Times New Roman" w:eastAsia="黑体" w:cs="Times New Roman"/>
          <w:kern w:val="44"/>
          <w:sz w:val="32"/>
          <w:szCs w:val="32"/>
        </w:rPr>
      </w:pPr>
      <w:bookmarkStart w:id="302" w:name="_Toc29586"/>
      <w:bookmarkStart w:id="303" w:name="_Toc13670"/>
      <w:bookmarkStart w:id="304" w:name="_Toc5676"/>
      <w:r>
        <w:rPr>
          <w:rFonts w:ascii="Times New Roman" w:hAnsi="Times New Roman" w:cs="Times New Roman"/>
          <w:b/>
          <w:szCs w:val="32"/>
        </w:rPr>
        <w:br w:type="page"/>
      </w:r>
    </w:p>
    <w:p>
      <w:pPr>
        <w:pStyle w:val="2"/>
        <w:keepNext w:val="0"/>
        <w:keepLines w:val="0"/>
        <w:widowControl/>
        <w:adjustRightInd/>
        <w:spacing w:before="156" w:after="156" w:line="560" w:lineRule="exact"/>
        <w:rPr>
          <w:rFonts w:ascii="Times New Roman" w:hAnsi="Times New Roman"/>
          <w:b w:val="0"/>
          <w:szCs w:val="32"/>
        </w:rPr>
      </w:pPr>
      <w:bookmarkStart w:id="305" w:name="_Toc61946367"/>
      <w:r>
        <w:rPr>
          <w:rFonts w:ascii="Times New Roman" w:hAnsi="黑体"/>
          <w:b w:val="0"/>
          <w:szCs w:val="32"/>
        </w:rPr>
        <w:t>第十四章</w:t>
      </w:r>
      <w:r>
        <w:rPr>
          <w:rFonts w:hint="eastAsia" w:ascii="Times New Roman" w:hAnsi="黑体"/>
          <w:b w:val="0"/>
          <w:szCs w:val="32"/>
          <w:lang w:val="en-US" w:eastAsia="zh-CN"/>
        </w:rPr>
        <w:t xml:space="preserve"> </w:t>
      </w:r>
      <w:r>
        <w:rPr>
          <w:rFonts w:ascii="Times New Roman" w:hAnsi="黑体"/>
          <w:b w:val="0"/>
          <w:szCs w:val="32"/>
        </w:rPr>
        <w:t>加强规划实施保障</w:t>
      </w:r>
      <w:bookmarkEnd w:id="299"/>
      <w:bookmarkEnd w:id="300"/>
      <w:bookmarkEnd w:id="302"/>
      <w:bookmarkEnd w:id="303"/>
      <w:bookmarkEnd w:id="304"/>
      <w:bookmarkEnd w:id="305"/>
    </w:p>
    <w:p>
      <w:pPr>
        <w:pStyle w:val="36"/>
        <w:adjustRightInd/>
        <w:snapToGrid w:val="0"/>
        <w:spacing w:line="560" w:lineRule="exact"/>
        <w:ind w:left="102" w:leftChars="0" w:firstLine="640" w:firstLineChars="200"/>
        <w:jc w:val="left"/>
        <w:rPr>
          <w:rFonts w:ascii="Times New Roman" w:hAnsi="Times New Roman" w:eastAsia="仿宋_GB2312" w:cs="Times New Roman"/>
          <w:szCs w:val="32"/>
        </w:rPr>
      </w:pPr>
      <w:bookmarkStart w:id="306" w:name="_Toc14074"/>
      <w:bookmarkStart w:id="307" w:name="_Toc9063"/>
      <w:bookmarkStart w:id="308" w:name="_Toc4689"/>
      <w:bookmarkStart w:id="309" w:name="_Toc24336"/>
      <w:bookmarkStart w:id="310" w:name="_Toc60738072"/>
      <w:bookmarkStart w:id="311" w:name="_Toc2386"/>
      <w:bookmarkStart w:id="312" w:name="_Toc15420"/>
      <w:r>
        <w:rPr>
          <w:rFonts w:ascii="Times New Roman" w:hAnsi="仿宋_GB2312" w:eastAsia="仿宋_GB2312" w:cs="Times New Roman"/>
          <w:szCs w:val="32"/>
        </w:rPr>
        <w:t>坚持党的领导，完善规划体系，增强规划约束性，强化监督考评，强化重大载体支撑作用，确保规划有效实施。</w:t>
      </w:r>
    </w:p>
    <w:p>
      <w:pPr>
        <w:pStyle w:val="3"/>
        <w:snapToGrid w:val="0"/>
        <w:spacing w:line="560" w:lineRule="exact"/>
        <w:jc w:val="center"/>
        <w:rPr>
          <w:rFonts w:ascii="Times New Roman" w:hAnsi="Times New Roman"/>
        </w:rPr>
      </w:pPr>
      <w:bookmarkStart w:id="313" w:name="_Toc61946368"/>
      <w:r>
        <w:rPr>
          <w:rFonts w:ascii="Times New Roman" w:hAnsi="Times New Roman" w:eastAsia="楷体_GB2312"/>
          <w:b w:val="0"/>
        </w:rPr>
        <w:t>第一节 加强党的</w:t>
      </w:r>
      <w:bookmarkEnd w:id="306"/>
      <w:bookmarkEnd w:id="307"/>
      <w:bookmarkEnd w:id="308"/>
      <w:bookmarkEnd w:id="309"/>
      <w:bookmarkEnd w:id="310"/>
      <w:bookmarkEnd w:id="313"/>
      <w:r>
        <w:rPr>
          <w:rFonts w:ascii="Times New Roman" w:hAnsi="Times New Roman" w:eastAsia="楷体_GB2312"/>
          <w:b w:val="0"/>
        </w:rPr>
        <w:t>全面领导</w:t>
      </w:r>
    </w:p>
    <w:p>
      <w:pPr>
        <w:spacing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持续深入贯彻习近平新时代中国特色社会主义思想，充分发挥区委总揽全局协调各方的领导作用，抢抓机遇、统筹施策，引领我区在全面建设社会主义现代化国家中做出新会贡献，确保习近平总书记、党中央决策部署在新会得到全面贯彻落实。不忘初心，牢记使命，充分发挥各级党组织和党员干部在推动规划落实过程中的战斗堡垒作用和先锋模范作用，最大限度聚合全社会共识和力量，共同推动</w:t>
      </w:r>
      <w:r>
        <w:rPr>
          <w:rFonts w:ascii="Times New Roman" w:hAnsi="Times New Roman" w:eastAsia="仿宋_GB2312" w:cs="Times New Roman"/>
          <w:sz w:val="32"/>
          <w:szCs w:val="32"/>
        </w:rPr>
        <w:t>“</w:t>
      </w:r>
      <w:r>
        <w:rPr>
          <w:rFonts w:ascii="Times New Roman" w:hAnsi="仿宋_GB2312" w:eastAsia="仿宋_GB2312" w:cs="Times New Roman"/>
          <w:sz w:val="32"/>
          <w:szCs w:val="32"/>
        </w:rPr>
        <w:t>十四五</w:t>
      </w:r>
      <w:r>
        <w:rPr>
          <w:rFonts w:ascii="Times New Roman" w:hAnsi="Times New Roman" w:eastAsia="仿宋_GB2312" w:cs="Times New Roman"/>
          <w:sz w:val="32"/>
          <w:szCs w:val="32"/>
        </w:rPr>
        <w:t>”</w:t>
      </w:r>
      <w:r>
        <w:rPr>
          <w:rFonts w:ascii="Times New Roman" w:hAnsi="仿宋_GB2312" w:eastAsia="仿宋_GB2312" w:cs="Times New Roman"/>
          <w:sz w:val="32"/>
          <w:szCs w:val="32"/>
        </w:rPr>
        <w:t>规划蓝图实施。持之以恒落实中央八项规定精神，不断完善整治</w:t>
      </w:r>
      <w:r>
        <w:rPr>
          <w:rFonts w:ascii="Times New Roman" w:hAnsi="Times New Roman" w:eastAsia="仿宋_GB2312" w:cs="Times New Roman"/>
          <w:sz w:val="32"/>
          <w:szCs w:val="32"/>
        </w:rPr>
        <w:t>“</w:t>
      </w:r>
      <w:r>
        <w:rPr>
          <w:rFonts w:ascii="Times New Roman" w:hAnsi="仿宋_GB2312" w:eastAsia="仿宋_GB2312" w:cs="Times New Roman"/>
          <w:sz w:val="32"/>
          <w:szCs w:val="32"/>
        </w:rPr>
        <w:t>四风</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的制度机制，严防和纠正在推进规划实施过程中的形式主义、官僚主义问题。</w:t>
      </w:r>
    </w:p>
    <w:p>
      <w:pPr>
        <w:pStyle w:val="3"/>
        <w:snapToGrid w:val="0"/>
        <w:spacing w:line="560" w:lineRule="exact"/>
        <w:jc w:val="center"/>
        <w:rPr>
          <w:rFonts w:ascii="Times New Roman" w:hAnsi="Times New Roman"/>
        </w:rPr>
      </w:pPr>
      <w:bookmarkStart w:id="314" w:name="_Toc61946369"/>
      <w:bookmarkStart w:id="315" w:name="_Toc9140"/>
      <w:bookmarkStart w:id="316" w:name="_Toc29319"/>
      <w:bookmarkStart w:id="317" w:name="_Toc9710"/>
      <w:bookmarkStart w:id="318" w:name="_Toc60738073"/>
      <w:bookmarkStart w:id="319" w:name="_Toc2256"/>
      <w:r>
        <w:rPr>
          <w:rFonts w:ascii="Times New Roman" w:hAnsi="Times New Roman" w:eastAsia="楷体_GB2312"/>
          <w:b w:val="0"/>
        </w:rPr>
        <w:t>第二节 强化规划导向作用</w:t>
      </w:r>
      <w:bookmarkEnd w:id="314"/>
      <w:bookmarkEnd w:id="315"/>
      <w:bookmarkEnd w:id="316"/>
      <w:bookmarkEnd w:id="317"/>
      <w:bookmarkEnd w:id="318"/>
      <w:bookmarkEnd w:id="319"/>
    </w:p>
    <w:p>
      <w:pPr>
        <w:pStyle w:val="7"/>
        <w:pBdr>
          <w:right w:val="none" w:color="auto" w:sz="0" w:space="0"/>
        </w:pBdr>
        <w:spacing w:line="560" w:lineRule="exact"/>
        <w:ind w:firstLine="643"/>
        <w:rPr>
          <w:rFonts w:ascii="Times New Roman" w:hAnsi="Times New Roman" w:eastAsia="仿宋_GB2312" w:cs="Times New Roman"/>
          <w:bCs/>
          <w:kern w:val="0"/>
          <w:sz w:val="32"/>
          <w:szCs w:val="32"/>
        </w:rPr>
      </w:pPr>
      <w:r>
        <w:rPr>
          <w:rFonts w:ascii="Times New Roman" w:hAnsi="仿宋_GB2312" w:eastAsia="仿宋_GB2312" w:cs="Times New Roman"/>
          <w:b/>
          <w:bCs/>
          <w:kern w:val="0"/>
          <w:sz w:val="32"/>
          <w:szCs w:val="32"/>
        </w:rPr>
        <w:t>明确规划功能定位。</w:t>
      </w:r>
      <w:r>
        <w:rPr>
          <w:rFonts w:ascii="Times New Roman" w:hAnsi="仿宋_GB2312" w:eastAsia="仿宋_GB2312" w:cs="Times New Roman"/>
          <w:bCs/>
          <w:kern w:val="0"/>
          <w:sz w:val="32"/>
          <w:szCs w:val="32"/>
        </w:rPr>
        <w:t>以国民经济和社会发展规划纲要为统领，以区级空间规划为基础，各项区级专项规划、镇级规划为支撑，推动</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多规合一</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发挥规划的先导和统筹作用，科学布局城市空间、产业发展和公共服务设施等。维护规划的严肃性和权威性，各项重大项目、重大投资、重大政策要严格按照规划的战略意图安排推进。加强财政预算与规划实施的衔接协调，合理安排财政支出规模和结构。</w:t>
      </w:r>
    </w:p>
    <w:p>
      <w:pPr>
        <w:pStyle w:val="7"/>
        <w:pBdr>
          <w:right w:val="none" w:color="auto" w:sz="0" w:space="0"/>
        </w:pBdr>
        <w:spacing w:line="560" w:lineRule="exact"/>
        <w:ind w:firstLine="643"/>
        <w:rPr>
          <w:rFonts w:ascii="Times New Roman" w:hAnsi="Times New Roman" w:eastAsia="仿宋_GB2312" w:cs="Times New Roman"/>
          <w:b/>
          <w:kern w:val="0"/>
        </w:rPr>
      </w:pPr>
      <w:r>
        <w:rPr>
          <w:rFonts w:ascii="Times New Roman" w:hAnsi="仿宋_GB2312" w:eastAsia="仿宋_GB2312" w:cs="Times New Roman"/>
          <w:b/>
          <w:bCs/>
          <w:kern w:val="0"/>
          <w:sz w:val="32"/>
          <w:szCs w:val="32"/>
        </w:rPr>
        <w:t>加强规划衔接协调。</w:t>
      </w:r>
      <w:r>
        <w:rPr>
          <w:rFonts w:ascii="Times New Roman" w:hAnsi="仿宋_GB2312" w:eastAsia="仿宋_GB2312" w:cs="Times New Roman"/>
          <w:bCs/>
          <w:kern w:val="0"/>
          <w:sz w:val="32"/>
          <w:szCs w:val="32"/>
        </w:rPr>
        <w:t>区级各类规划和镇级规划要确保与上位规划、上级规划协调一致，加强各项规划目标特别是约束性指标、发展方向、总体布局、风险防控等的统筹衔接，形成以区</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十四五</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规划纲要为统领，各类规划定位清晰、功能互补、纵向对接、横向衔接的规划体系。</w:t>
      </w:r>
      <w:bookmarkStart w:id="320" w:name="_Toc61946370"/>
    </w:p>
    <w:p>
      <w:pPr>
        <w:pStyle w:val="3"/>
        <w:snapToGrid w:val="0"/>
        <w:spacing w:line="560" w:lineRule="exact"/>
        <w:jc w:val="center"/>
        <w:rPr>
          <w:rFonts w:ascii="Times New Roman" w:hAnsi="Times New Roman"/>
        </w:rPr>
      </w:pPr>
      <w:r>
        <w:rPr>
          <w:rFonts w:ascii="Times New Roman" w:hAnsi="Times New Roman" w:eastAsia="楷体_GB2312"/>
          <w:b w:val="0"/>
        </w:rPr>
        <w:t>第三节 加强规划组织实施</w:t>
      </w:r>
      <w:bookmarkEnd w:id="320"/>
    </w:p>
    <w:p>
      <w:pPr>
        <w:pBdr>
          <w:right w:val="none" w:color="auto" w:sz="0" w:space="0"/>
        </w:pBdr>
        <w:spacing w:line="560" w:lineRule="exact"/>
        <w:ind w:firstLine="643"/>
        <w:rPr>
          <w:rFonts w:ascii="Times New Roman" w:hAnsi="Times New Roman" w:eastAsia="仿宋_GB2312" w:cs="Times New Roman"/>
          <w:bCs/>
          <w:kern w:val="0"/>
          <w:sz w:val="32"/>
          <w:szCs w:val="32"/>
        </w:rPr>
      </w:pPr>
      <w:r>
        <w:rPr>
          <w:rFonts w:ascii="Times New Roman" w:hAnsi="仿宋_GB2312" w:eastAsia="仿宋_GB2312" w:cs="Times New Roman"/>
          <w:b/>
          <w:sz w:val="32"/>
          <w:szCs w:val="32"/>
        </w:rPr>
        <w:t>强化规划任务落实。</w:t>
      </w:r>
      <w:r>
        <w:rPr>
          <w:rFonts w:ascii="Times New Roman" w:hAnsi="仿宋_GB2312" w:eastAsia="仿宋_GB2312" w:cs="Times New Roman"/>
          <w:bCs/>
          <w:kern w:val="0"/>
          <w:sz w:val="32"/>
          <w:szCs w:val="32"/>
        </w:rPr>
        <w:t>加强支撑政策的研究、储备、制定，健全政策协调和工作协同机制，推动形成有效的政策预期和导向。围绕产业、区域、土地、环境等重点领域，加强资源物资、资金、土地、人才等要素对规划实施的保障作用。强化项目支撑，</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十四五</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时期的安排新型基础设施等十大领域重大项目工程包，</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十四五</w:t>
      </w:r>
      <w:r>
        <w:rPr>
          <w:rFonts w:ascii="Times New Roman" w:hAnsi="Times New Roman" w:eastAsia="仿宋_GB2312" w:cs="Times New Roman"/>
          <w:bCs/>
          <w:kern w:val="0"/>
          <w:sz w:val="32"/>
          <w:szCs w:val="32"/>
        </w:rPr>
        <w:t>”</w:t>
      </w:r>
      <w:r>
        <w:rPr>
          <w:rFonts w:ascii="Times New Roman" w:hAnsi="仿宋_GB2312" w:eastAsia="仿宋_GB2312" w:cs="Times New Roman"/>
          <w:bCs/>
          <w:kern w:val="0"/>
          <w:sz w:val="32"/>
          <w:szCs w:val="32"/>
        </w:rPr>
        <w:t>期间投资</w:t>
      </w:r>
      <w:r>
        <w:rPr>
          <w:rFonts w:ascii="Times New Roman" w:hAnsi="Times New Roman" w:eastAsia="仿宋_GB2312" w:cs="Times New Roman"/>
          <w:bCs/>
          <w:kern w:val="0"/>
          <w:sz w:val="32"/>
          <w:szCs w:val="32"/>
        </w:rPr>
        <w:t>1687</w:t>
      </w:r>
      <w:r>
        <w:rPr>
          <w:rFonts w:ascii="Times New Roman" w:hAnsi="仿宋_GB2312" w:eastAsia="仿宋_GB2312" w:cs="Times New Roman"/>
          <w:bCs/>
          <w:kern w:val="0"/>
          <w:sz w:val="32"/>
          <w:szCs w:val="32"/>
        </w:rPr>
        <w:t>亿元，为规划实施提供重要支撑。制订规划年度实施方案，细化工作分工，明确工作责任，逐年逐项落实目标任务。</w:t>
      </w:r>
    </w:p>
    <w:p>
      <w:pPr>
        <w:pStyle w:val="7"/>
        <w:pBdr>
          <w:right w:val="none" w:color="auto" w:sz="0" w:space="0"/>
        </w:pBdr>
        <w:spacing w:line="560" w:lineRule="exact"/>
        <w:ind w:firstLine="643"/>
        <w:rPr>
          <w:rFonts w:ascii="Times New Roman" w:hAnsi="仿宋_GB2312" w:eastAsia="仿宋_GB2312" w:cs="Times New Roman"/>
          <w:bCs/>
          <w:kern w:val="0"/>
          <w:sz w:val="32"/>
          <w:szCs w:val="32"/>
        </w:rPr>
      </w:pPr>
      <w:r>
        <w:rPr>
          <w:rFonts w:ascii="Times New Roman" w:hAnsi="仿宋_GB2312" w:eastAsia="仿宋_GB2312" w:cs="Times New Roman"/>
          <w:b/>
          <w:sz w:val="32"/>
          <w:szCs w:val="32"/>
        </w:rPr>
        <w:t>完善规划评估考核机制。</w:t>
      </w:r>
      <w:r>
        <w:rPr>
          <w:rFonts w:ascii="Times New Roman" w:hAnsi="仿宋_GB2312" w:eastAsia="仿宋_GB2312" w:cs="Times New Roman"/>
          <w:sz w:val="32"/>
          <w:szCs w:val="32"/>
        </w:rPr>
        <w:t>强化规划权威性、严肃性，未经法定程序批准，不得随意调整更改各类规划。</w:t>
      </w:r>
      <w:r>
        <w:rPr>
          <w:rFonts w:ascii="Times New Roman" w:hAnsi="仿宋_GB2312" w:eastAsia="仿宋_GB2312" w:cs="Times New Roman"/>
          <w:bCs/>
          <w:kern w:val="0"/>
          <w:sz w:val="32"/>
          <w:szCs w:val="32"/>
        </w:rPr>
        <w:t>区发展规划确需调整修订时，相关区级规划需按程序相应作出调整修订。对规划指标、政策措施和重大项目实施情况实行年度评价和中期评估制度，鼓励开展第三方评估，探索实行规划实施考核结果与被考核责任主体绩效相挂钩。强化结果运用，自觉接受人大、审计和社会的监督。</w:t>
      </w:r>
      <w:bookmarkEnd w:id="311"/>
      <w:bookmarkEnd w:id="312"/>
    </w:p>
    <w:p>
      <w:pPr>
        <w:pStyle w:val="7"/>
        <w:pBdr>
          <w:right w:val="none" w:color="auto" w:sz="0" w:space="0"/>
        </w:pBdr>
        <w:spacing w:line="560" w:lineRule="exact"/>
        <w:ind w:firstLine="640"/>
        <w:rPr>
          <w:rFonts w:ascii="Times New Roman" w:hAnsi="仿宋_GB2312" w:eastAsia="仿宋_GB2312" w:cs="Times New Roman"/>
          <w:bCs/>
          <w:kern w:val="0"/>
          <w:sz w:val="32"/>
          <w:szCs w:val="32"/>
        </w:rPr>
      </w:pPr>
    </w:p>
    <w:p>
      <w:pPr>
        <w:pStyle w:val="7"/>
        <w:pBdr>
          <w:right w:val="none" w:color="auto" w:sz="0" w:space="0"/>
        </w:pBdr>
        <w:spacing w:line="560" w:lineRule="exact"/>
        <w:ind w:firstLine="640"/>
        <w:rPr>
          <w:rFonts w:ascii="Times New Roman" w:hAnsi="仿宋_GB2312" w:eastAsia="仿宋_GB2312" w:cs="Times New Roman"/>
          <w:bCs/>
          <w:kern w:val="0"/>
          <w:sz w:val="32"/>
          <w:szCs w:val="32"/>
        </w:rPr>
      </w:pPr>
    </w:p>
    <w:p>
      <w:pPr>
        <w:autoSpaceDN w:val="0"/>
        <w:spacing w:line="560" w:lineRule="exact"/>
        <w:ind w:firstLine="0"/>
        <w:jc w:val="both"/>
        <w:rPr>
          <w:rFonts w:ascii="黑体" w:hAnsi="黑体" w:eastAsia="黑体" w:cs="黑体"/>
          <w:bCs/>
          <w:color w:val="000000"/>
          <w:sz w:val="32"/>
          <w:szCs w:val="32"/>
        </w:rPr>
      </w:pPr>
      <w:r>
        <w:rPr>
          <w:rFonts w:hint="eastAsia" w:ascii="黑体" w:hAnsi="黑体" w:eastAsia="黑体" w:cs="黑体"/>
          <w:bCs/>
          <w:color w:val="000000"/>
          <w:sz w:val="32"/>
          <w:szCs w:val="32"/>
        </w:rPr>
        <w:t>附件1</w:t>
      </w:r>
    </w:p>
    <w:p>
      <w:pPr>
        <w:autoSpaceDN w:val="0"/>
        <w:spacing w:line="560" w:lineRule="exact"/>
        <w:jc w:val="center"/>
        <w:rPr>
          <w:rFonts w:eastAsia="仿宋_GB2312"/>
          <w:b/>
          <w:color w:val="000000"/>
          <w:sz w:val="36"/>
          <w:szCs w:val="36"/>
        </w:rPr>
      </w:pPr>
      <w:r>
        <w:rPr>
          <w:rFonts w:hint="eastAsia" w:ascii="黑体" w:hAnsi="黑体" w:eastAsia="黑体" w:cs="黑体"/>
          <w:bCs/>
          <w:color w:val="000000"/>
          <w:sz w:val="36"/>
          <w:szCs w:val="36"/>
        </w:rPr>
        <w:t xml:space="preserve">新会区“十四五”专项规划目录清单  </w:t>
      </w:r>
    </w:p>
    <w:tbl>
      <w:tblPr>
        <w:tblStyle w:val="18"/>
        <w:tblpPr w:leftFromText="180" w:rightFromText="180" w:vertAnchor="text" w:horzAnchor="page" w:tblpXSpec="center" w:tblpY="284"/>
        <w:tblOverlap w:val="never"/>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eastAsia="仿宋_GB2312"/>
                <w:bCs/>
                <w:color w:val="000000"/>
                <w:sz w:val="32"/>
              </w:rPr>
            </w:pPr>
            <w:r>
              <w:rPr>
                <w:rFonts w:hint="eastAsia" w:ascii="宋体" w:hAnsi="宋体" w:eastAsia="宋体"/>
                <w:b/>
                <w:color w:val="000000"/>
                <w:kern w:val="0"/>
                <w:szCs w:val="28"/>
              </w:rPr>
              <w:t>序号</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宋体" w:hAnsi="宋体" w:eastAsia="宋体"/>
                <w:b/>
                <w:color w:val="000000"/>
                <w:kern w:val="0"/>
                <w:szCs w:val="28"/>
              </w:rPr>
              <w:t>规划名称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color w:val="000000"/>
                <w:kern w:val="0"/>
                <w:szCs w:val="28"/>
              </w:rPr>
            </w:pPr>
            <w:r>
              <w:rPr>
                <w:rFonts w:hint="eastAsia" w:ascii="仿宋_GB2312" w:hAnsi="仿宋_GB2312" w:eastAsia="仿宋_GB2312" w:cs="仿宋_GB2312"/>
                <w:color w:val="000000"/>
                <w:kern w:val="0"/>
                <w:szCs w:val="28"/>
              </w:rPr>
              <w:t>1</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textAlignment w:val="center"/>
              <w:rPr>
                <w:rFonts w:ascii="仿宋_GB2312" w:hAnsi="宋体" w:eastAsia="仿宋_GB2312" w:cs="仿宋_GB2312"/>
                <w:color w:val="000000"/>
                <w:kern w:val="0"/>
                <w:szCs w:val="28"/>
              </w:rPr>
            </w:pPr>
            <w:r>
              <w:rPr>
                <w:rFonts w:hint="eastAsia" w:ascii="仿宋_GB2312" w:hAnsi="宋体" w:eastAsia="仿宋_GB2312" w:cs="仿宋_GB2312"/>
                <w:color w:val="000000"/>
                <w:kern w:val="0"/>
                <w:szCs w:val="28"/>
              </w:rPr>
              <w:t>新会区加快推进市域社会治理现代化“十四五”规划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新会区综合交通运输体系发展“十四五”规划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新会区能源发展“十四五”规划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4</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新会区教育发展“十四五”规划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5</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新会区先进制造业发展“十四五”规划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6</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新会区人力资源和社会保障事业发展“十四五” 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7</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新会区水利发展“十四五”规划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8</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新会区农业农村现代化“十四五”规划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9</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新会区卫生与健康事业发展“十四五”规划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10</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bCs/>
                <w:color w:val="000000"/>
                <w:sz w:val="32"/>
              </w:rPr>
            </w:pPr>
            <w:r>
              <w:rPr>
                <w:rFonts w:hint="eastAsia" w:ascii="仿宋_GB2312" w:hAnsi="宋体" w:eastAsia="仿宋_GB2312" w:cs="仿宋_GB2312"/>
                <w:color w:val="000000"/>
                <w:kern w:val="0"/>
                <w:szCs w:val="28"/>
              </w:rPr>
              <w:t>新会区文化、旅游和体育“十四五”规划</w:t>
            </w:r>
            <w:r>
              <w:rPr>
                <w:rFonts w:hint="eastAsia" w:ascii="仿宋_GB2312" w:hAnsi="仿宋_GB2312" w:eastAsia="仿宋_GB2312" w:cs="仿宋_GB2312"/>
                <w:color w:val="000000"/>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11</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新会区应急管理“十四五”规划</w:t>
            </w:r>
            <w:r>
              <w:rPr>
                <w:rFonts w:hint="eastAsia" w:ascii="仿宋_GB2312" w:hAnsi="仿宋_GB2312" w:eastAsia="仿宋_GB2312" w:cs="仿宋_GB2312"/>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12</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新会区消防工作“十四五”规划</w:t>
            </w:r>
            <w:r>
              <w:rPr>
                <w:rFonts w:hint="eastAsia" w:ascii="仿宋_GB2312" w:hAnsi="仿宋_GB2312" w:eastAsia="仿宋_GB2312" w:cs="仿宋_GB2312"/>
                <w:kern w:val="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13</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新会区成品油零售体系“十四五”发展规划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14</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新会区电子商务发展“十四五”规划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15</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新会区海洋经济发展“十四五”规划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16</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新会区基础测绘“十四五”规划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17</w:t>
            </w:r>
          </w:p>
        </w:tc>
        <w:tc>
          <w:tcPr>
            <w:tcW w:w="7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kern w:val="0"/>
                <w:szCs w:val="28"/>
              </w:rPr>
            </w:pPr>
            <w:r>
              <w:rPr>
                <w:rFonts w:hint="eastAsia" w:ascii="仿宋_GB2312" w:hAnsi="宋体" w:eastAsia="仿宋_GB2312" w:cs="仿宋_GB2312"/>
                <w:kern w:val="0"/>
                <w:szCs w:val="28"/>
              </w:rPr>
              <w:t>新会区残疾人事业发展“十四五”规划</w:t>
            </w:r>
          </w:p>
        </w:tc>
      </w:tr>
    </w:tbl>
    <w:p>
      <w:pPr>
        <w:jc w:val="both"/>
        <w:rPr>
          <w:rFonts w:ascii="仿宋_GB2312" w:hAnsi="仿宋_GB2312" w:eastAsia="仿宋_GB2312" w:cs="仿宋_GB2312"/>
          <w:szCs w:val="28"/>
        </w:rPr>
      </w:pPr>
      <w:r>
        <w:rPr>
          <w:rFonts w:hint="eastAsia" w:ascii="仿宋_GB2312" w:hAnsi="仿宋_GB2312" w:eastAsia="仿宋_GB2312" w:cs="仿宋_GB2312"/>
          <w:szCs w:val="28"/>
        </w:rPr>
        <w:t>注：标“</w:t>
      </w:r>
      <w:r>
        <w:rPr>
          <w:rFonts w:hint="eastAsia" w:ascii="仿宋_GB2312" w:hAnsi="仿宋_GB2312" w:eastAsia="仿宋_GB2312" w:cs="仿宋_GB2312"/>
          <w:kern w:val="0"/>
          <w:szCs w:val="28"/>
        </w:rPr>
        <w:t>★</w:t>
      </w:r>
      <w:r>
        <w:rPr>
          <w:rFonts w:hint="eastAsia" w:ascii="仿宋_GB2312" w:hAnsi="仿宋_GB2312" w:eastAsia="仿宋_GB2312" w:cs="仿宋_GB2312"/>
          <w:szCs w:val="28"/>
        </w:rPr>
        <w:t>”号的为新会区“十四五”重点专项规划。</w:t>
      </w:r>
    </w:p>
    <w:p>
      <w:pPr>
        <w:pStyle w:val="7"/>
        <w:pBdr>
          <w:right w:val="none" w:color="auto" w:sz="0" w:space="0"/>
        </w:pBdr>
        <w:spacing w:line="560" w:lineRule="exact"/>
        <w:ind w:firstLine="640"/>
        <w:rPr>
          <w:rFonts w:ascii="Times New Roman" w:hAnsi="仿宋_GB2312" w:eastAsia="仿宋_GB2312" w:cs="Times New Roman"/>
          <w:bCs/>
          <w:kern w:val="0"/>
          <w:sz w:val="32"/>
          <w:szCs w:val="32"/>
        </w:rPr>
      </w:pPr>
    </w:p>
    <w:p>
      <w:pPr>
        <w:autoSpaceDN w:val="0"/>
        <w:spacing w:line="560" w:lineRule="exact"/>
        <w:ind w:firstLine="0"/>
        <w:jc w:val="both"/>
        <w:rPr>
          <w:rFonts w:ascii="黑体" w:hAnsi="黑体" w:eastAsia="黑体" w:cs="黑体"/>
          <w:bCs/>
          <w:color w:val="000000"/>
          <w:sz w:val="30"/>
          <w:szCs w:val="30"/>
        </w:rPr>
      </w:pPr>
      <w:r>
        <w:rPr>
          <w:rFonts w:hint="eastAsia" w:ascii="黑体" w:hAnsi="黑体" w:eastAsia="黑体" w:cs="黑体"/>
          <w:bCs/>
          <w:color w:val="000000"/>
          <w:sz w:val="30"/>
          <w:szCs w:val="30"/>
        </w:rPr>
        <w:t>附件2</w:t>
      </w:r>
    </w:p>
    <w:p>
      <w:pPr>
        <w:pStyle w:val="7"/>
        <w:pBdr>
          <w:right w:val="none" w:color="auto" w:sz="0" w:space="0"/>
        </w:pBdr>
        <w:spacing w:line="560" w:lineRule="exact"/>
        <w:ind w:firstLine="0" w:firstLineChars="0"/>
        <w:jc w:val="center"/>
        <w:rPr>
          <w:rFonts w:ascii="黑体" w:hAnsi="黑体" w:eastAsia="黑体" w:cs="黑体"/>
          <w:bCs/>
          <w:kern w:val="0"/>
          <w:sz w:val="36"/>
          <w:szCs w:val="36"/>
        </w:rPr>
      </w:pPr>
      <w:r>
        <w:rPr>
          <w:rFonts w:hint="eastAsia" w:ascii="黑体" w:hAnsi="黑体" w:eastAsia="黑体" w:cs="黑体"/>
          <w:bCs/>
          <w:kern w:val="0"/>
          <w:sz w:val="36"/>
          <w:szCs w:val="36"/>
        </w:rPr>
        <w:t>新会区“十四五”规划重大建设项目汇总表</w:t>
      </w:r>
    </w:p>
    <w:tbl>
      <w:tblPr>
        <w:tblStyle w:val="17"/>
        <w:tblW w:w="8717" w:type="dxa"/>
        <w:tblInd w:w="0" w:type="dxa"/>
        <w:tblLayout w:type="fixed"/>
        <w:tblCellMar>
          <w:top w:w="0" w:type="dxa"/>
          <w:left w:w="108" w:type="dxa"/>
          <w:bottom w:w="0" w:type="dxa"/>
          <w:right w:w="108" w:type="dxa"/>
        </w:tblCellMar>
      </w:tblPr>
      <w:tblGrid>
        <w:gridCol w:w="818"/>
        <w:gridCol w:w="3249"/>
        <w:gridCol w:w="1449"/>
        <w:gridCol w:w="1810"/>
        <w:gridCol w:w="1391"/>
      </w:tblGrid>
      <w:tr>
        <w:tblPrEx>
          <w:tblCellMar>
            <w:top w:w="0" w:type="dxa"/>
            <w:left w:w="108" w:type="dxa"/>
            <w:bottom w:w="0" w:type="dxa"/>
            <w:right w:w="108" w:type="dxa"/>
          </w:tblCellMar>
        </w:tblPrEx>
        <w:trPr>
          <w:trHeight w:val="465" w:hRule="atLeast"/>
        </w:trPr>
        <w:tc>
          <w:tcPr>
            <w:tcW w:w="818" w:type="dxa"/>
            <w:tcBorders>
              <w:top w:val="nil"/>
              <w:left w:val="nil"/>
              <w:bottom w:val="nil"/>
              <w:right w:val="nil"/>
            </w:tcBorders>
            <w:shd w:val="clear" w:color="auto" w:fill="auto"/>
            <w:vAlign w:val="center"/>
          </w:tcPr>
          <w:p>
            <w:pPr>
              <w:jc w:val="center"/>
              <w:rPr>
                <w:rFonts w:ascii="宋体" w:hAnsi="宋体" w:eastAsia="宋体"/>
                <w:b/>
                <w:bCs/>
                <w:color w:val="000000"/>
                <w:szCs w:val="28"/>
              </w:rPr>
            </w:pPr>
          </w:p>
        </w:tc>
        <w:tc>
          <w:tcPr>
            <w:tcW w:w="3249" w:type="dxa"/>
            <w:tcBorders>
              <w:top w:val="nil"/>
              <w:left w:val="nil"/>
              <w:bottom w:val="nil"/>
              <w:right w:val="nil"/>
            </w:tcBorders>
            <w:shd w:val="clear" w:color="auto" w:fill="auto"/>
            <w:vAlign w:val="center"/>
          </w:tcPr>
          <w:p>
            <w:pPr>
              <w:jc w:val="center"/>
              <w:rPr>
                <w:rFonts w:ascii="宋体" w:hAnsi="宋体" w:eastAsia="宋体"/>
                <w:b/>
                <w:bCs/>
                <w:color w:val="000000"/>
                <w:szCs w:val="28"/>
              </w:rPr>
            </w:pPr>
          </w:p>
        </w:tc>
        <w:tc>
          <w:tcPr>
            <w:tcW w:w="1449" w:type="dxa"/>
            <w:tcBorders>
              <w:top w:val="nil"/>
              <w:left w:val="nil"/>
              <w:bottom w:val="nil"/>
              <w:right w:val="nil"/>
            </w:tcBorders>
            <w:shd w:val="clear" w:color="auto" w:fill="auto"/>
            <w:vAlign w:val="center"/>
          </w:tcPr>
          <w:p>
            <w:pPr>
              <w:jc w:val="center"/>
              <w:rPr>
                <w:rFonts w:ascii="宋体" w:hAnsi="宋体" w:eastAsia="宋体"/>
                <w:b/>
                <w:bCs/>
                <w:color w:val="000000"/>
                <w:szCs w:val="28"/>
              </w:rPr>
            </w:pPr>
          </w:p>
        </w:tc>
        <w:tc>
          <w:tcPr>
            <w:tcW w:w="1810" w:type="dxa"/>
            <w:tcBorders>
              <w:top w:val="nil"/>
              <w:left w:val="nil"/>
              <w:bottom w:val="nil"/>
              <w:right w:val="nil"/>
            </w:tcBorders>
            <w:shd w:val="clear" w:color="auto" w:fill="auto"/>
            <w:vAlign w:val="center"/>
          </w:tcPr>
          <w:p>
            <w:pPr>
              <w:jc w:val="center"/>
              <w:rPr>
                <w:rFonts w:ascii="宋体" w:hAnsi="宋体" w:eastAsia="宋体"/>
                <w:b/>
                <w:bCs/>
                <w:color w:val="000000"/>
                <w:szCs w:val="28"/>
              </w:rPr>
            </w:pPr>
          </w:p>
        </w:tc>
        <w:tc>
          <w:tcPr>
            <w:tcW w:w="1391" w:type="dxa"/>
            <w:tcBorders>
              <w:top w:val="nil"/>
              <w:left w:val="nil"/>
              <w:bottom w:val="nil"/>
              <w:right w:val="nil"/>
            </w:tcBorders>
            <w:shd w:val="clear" w:color="auto" w:fill="auto"/>
            <w:vAlign w:val="center"/>
          </w:tcPr>
          <w:p>
            <w:pPr>
              <w:widowControl/>
              <w:ind w:firstLine="0"/>
              <w:jc w:val="center"/>
              <w:textAlignment w:val="center"/>
              <w:rPr>
                <w:rFonts w:ascii="宋体" w:hAnsi="宋体" w:eastAsia="宋体"/>
                <w:b/>
                <w:bCs/>
                <w:color w:val="000000"/>
                <w:szCs w:val="28"/>
              </w:rPr>
            </w:pPr>
            <w:r>
              <w:rPr>
                <w:rFonts w:hint="eastAsia" w:ascii="宋体" w:hAnsi="宋体" w:eastAsia="宋体"/>
                <w:b/>
                <w:bCs/>
                <w:color w:val="000000"/>
                <w:kern w:val="0"/>
                <w:sz w:val="21"/>
                <w:szCs w:val="21"/>
              </w:rPr>
              <w:t>单位：万元</w:t>
            </w:r>
          </w:p>
        </w:tc>
      </w:tr>
      <w:tr>
        <w:tblPrEx>
          <w:tblCellMar>
            <w:top w:w="0" w:type="dxa"/>
            <w:left w:w="108" w:type="dxa"/>
            <w:bottom w:w="0" w:type="dxa"/>
            <w:right w:w="108" w:type="dxa"/>
          </w:tblCellMar>
        </w:tblPrEx>
        <w:trPr>
          <w:trHeight w:val="1005"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序号</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项目类别</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项目总投资</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预计到2020年底累计完成投资</w:t>
            </w:r>
          </w:p>
        </w:tc>
        <w:tc>
          <w:tcPr>
            <w:tcW w:w="1391" w:type="dxa"/>
            <w:tcBorders>
              <w:top w:val="single" w:color="000000" w:sz="4" w:space="0"/>
              <w:left w:val="single" w:color="000000" w:sz="4" w:space="0"/>
              <w:bottom w:val="nil"/>
              <w:right w:val="single" w:color="000000" w:sz="4" w:space="0"/>
            </w:tcBorders>
            <w:shd w:val="clear" w:color="auto" w:fill="auto"/>
            <w:vAlign w:val="center"/>
          </w:tcPr>
          <w:p>
            <w:pPr>
              <w:widowControl/>
              <w:ind w:firstLine="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w:t>
            </w:r>
            <w:r>
              <w:rPr>
                <w:rStyle w:val="48"/>
                <w:rFonts w:hint="default"/>
                <w:sz w:val="21"/>
                <w:szCs w:val="21"/>
              </w:rPr>
              <w:t>十四五</w:t>
            </w:r>
            <w:r>
              <w:rPr>
                <w:rFonts w:ascii="Times New Roman" w:hAnsi="Times New Roman" w:eastAsia="宋体" w:cs="Times New Roman"/>
                <w:b/>
                <w:bCs/>
                <w:color w:val="000000"/>
                <w:kern w:val="0"/>
                <w:sz w:val="21"/>
                <w:szCs w:val="21"/>
              </w:rPr>
              <w:t>”</w:t>
            </w:r>
            <w:r>
              <w:rPr>
                <w:rStyle w:val="48"/>
                <w:rFonts w:hint="default"/>
                <w:sz w:val="21"/>
                <w:szCs w:val="21"/>
              </w:rPr>
              <w:t>期间投资</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b/>
                <w:bCs/>
                <w:color w:val="000000"/>
                <w:sz w:val="21"/>
                <w:szCs w:val="21"/>
              </w:rPr>
            </w:pP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合计37个大项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31830102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5479649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16877097</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一</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新型基础设施建设领域（3个大项）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825159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65000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760159</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(一)</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创新基础设施</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783159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45000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738159</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(二)</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融合基础设施</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42000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20000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22000</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二</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重大产业集群领域（6个大项）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4654765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647938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2974327</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(一)</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战略性支柱产业集群项目</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3026765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590938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2435827</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(二)</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战略性新兴产业集群项目</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1628000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57000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538500</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三</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现代服务业领域（3个大项）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1109300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89500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427000</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四</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现代综合交通运输体系领域（8个大项）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6965599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1233160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3996082</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(一)</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轨道交通工程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1153000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18000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449000</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(二)</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公路工程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5330399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1170660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3108882</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(三)</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港航工程</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460800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43500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417800</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(四)</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综合交通枢纽及一体化设施</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21400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1000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color w:val="000000"/>
                <w:sz w:val="21"/>
                <w:szCs w:val="21"/>
              </w:rPr>
            </w:pPr>
            <w:r>
              <w:rPr>
                <w:rFonts w:hint="eastAsia" w:ascii="宋体" w:hAnsi="宋体" w:eastAsia="宋体"/>
                <w:color w:val="000000"/>
                <w:kern w:val="0"/>
                <w:sz w:val="21"/>
                <w:szCs w:val="21"/>
              </w:rPr>
              <w:t>20400</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五</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现代能源体系领域（4个大项）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908358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199500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708858</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六</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现代水利基础设施体系领域（1个大项）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151075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16000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135075</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七</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区域融合发展领域（3个大项）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14993669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3011502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5878367</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八</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农业农村领域（1个大项）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65300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400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64000</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九</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生态文明建设领域（2个大项）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417591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88720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328871</w:t>
            </w:r>
          </w:p>
        </w:tc>
      </w:tr>
      <w:tr>
        <w:tblPrEx>
          <w:tblCellMar>
            <w:top w:w="0" w:type="dxa"/>
            <w:left w:w="108" w:type="dxa"/>
            <w:bottom w:w="0" w:type="dxa"/>
            <w:right w:w="108" w:type="dxa"/>
          </w:tblCellMar>
        </w:tblPrEx>
        <w:trPr>
          <w:trHeight w:val="799" w:hRule="atLeast"/>
        </w:trPr>
        <w:tc>
          <w:tcPr>
            <w:tcW w:w="818" w:type="dxa"/>
            <w:tcBorders>
              <w:top w:val="single" w:color="000000" w:sz="4" w:space="0"/>
              <w:left w:val="single" w:color="000000" w:sz="4" w:space="0"/>
              <w:bottom w:val="single" w:color="000000" w:sz="4" w:space="0"/>
              <w:right w:val="nil"/>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十</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民生保障领域（6个大项）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1739287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127929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jc w:val="center"/>
              <w:textAlignment w:val="center"/>
              <w:rPr>
                <w:rFonts w:ascii="宋体" w:hAnsi="宋体" w:eastAsia="宋体"/>
                <w:b/>
                <w:bCs/>
                <w:color w:val="000000"/>
                <w:sz w:val="21"/>
                <w:szCs w:val="21"/>
              </w:rPr>
            </w:pPr>
            <w:r>
              <w:rPr>
                <w:rFonts w:hint="eastAsia" w:ascii="宋体" w:hAnsi="宋体" w:eastAsia="宋体"/>
                <w:b/>
                <w:bCs/>
                <w:color w:val="000000"/>
                <w:kern w:val="0"/>
                <w:sz w:val="21"/>
                <w:szCs w:val="21"/>
              </w:rPr>
              <w:t>1604358</w:t>
            </w:r>
          </w:p>
        </w:tc>
      </w:tr>
    </w:tbl>
    <w:p>
      <w:pPr>
        <w:pStyle w:val="7"/>
        <w:pBdr>
          <w:right w:val="none" w:color="auto" w:sz="0" w:space="0"/>
        </w:pBdr>
        <w:spacing w:line="560" w:lineRule="exact"/>
        <w:ind w:firstLine="0" w:firstLineChars="0"/>
        <w:jc w:val="center"/>
        <w:rPr>
          <w:rFonts w:ascii="Times New Roman" w:hAnsi="仿宋_GB2312" w:eastAsia="仿宋_GB2312" w:cs="Times New Roman"/>
          <w:bCs/>
          <w:kern w:val="0"/>
          <w:sz w:val="32"/>
          <w:szCs w:val="32"/>
        </w:rPr>
      </w:pPr>
    </w:p>
    <w:p>
      <w:pPr>
        <w:pStyle w:val="7"/>
        <w:pBdr>
          <w:right w:val="none" w:color="auto" w:sz="0" w:space="0"/>
        </w:pBdr>
        <w:spacing w:line="560" w:lineRule="exact"/>
        <w:ind w:firstLine="0" w:firstLineChars="0"/>
        <w:jc w:val="center"/>
        <w:rPr>
          <w:rFonts w:ascii="Times New Roman" w:hAnsi="仿宋_GB2312" w:eastAsia="仿宋_GB2312" w:cs="Times New Roman"/>
          <w:bCs/>
          <w:kern w:val="0"/>
          <w:sz w:val="32"/>
          <w:szCs w:val="32"/>
        </w:rPr>
      </w:pPr>
    </w:p>
    <w:sectPr>
      <w:footerReference r:id="rId6" w:type="default"/>
      <w:pgSz w:w="11906" w:h="16838"/>
      <w:pgMar w:top="1418" w:right="1701" w:bottom="1418"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decorative"/>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moder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方正仿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252"/>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252"/>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252"/>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252"/>
        <w:tab w:val="clear" w:pos="4153"/>
      </w:tabs>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ascii="Times New Roman" w:hAnsi="Times New Roman" w:eastAsia="仿宋"/>
                              <w:sz w:val="24"/>
                              <w:szCs w:val="24"/>
                            </w:rPr>
                          </w:pPr>
                          <w:r>
                            <w:rPr>
                              <w:rFonts w:ascii="Times New Roman" w:hAnsi="Times New Roman" w:eastAsia="仿宋"/>
                              <w:sz w:val="24"/>
                              <w:szCs w:val="24"/>
                            </w:rPr>
                            <w:t xml:space="preserve">— </w:t>
                          </w:r>
                          <w:r>
                            <w:rPr>
                              <w:rFonts w:ascii="Times New Roman" w:hAnsi="Times New Roman" w:eastAsia="仿宋"/>
                              <w:sz w:val="24"/>
                              <w:szCs w:val="24"/>
                            </w:rPr>
                            <w:fldChar w:fldCharType="begin"/>
                          </w:r>
                          <w:r>
                            <w:rPr>
                              <w:rFonts w:ascii="Times New Roman" w:hAnsi="Times New Roman" w:eastAsia="仿宋"/>
                              <w:sz w:val="24"/>
                              <w:szCs w:val="24"/>
                            </w:rPr>
                            <w:instrText xml:space="preserve"> PAGE  \* MERGEFORMAT </w:instrText>
                          </w:r>
                          <w:r>
                            <w:rPr>
                              <w:rFonts w:ascii="Times New Roman" w:hAnsi="Times New Roman" w:eastAsia="仿宋"/>
                              <w:sz w:val="24"/>
                              <w:szCs w:val="24"/>
                            </w:rPr>
                            <w:fldChar w:fldCharType="separate"/>
                          </w:r>
                          <w:r>
                            <w:rPr>
                              <w:rFonts w:ascii="Times New Roman" w:hAnsi="Times New Roman" w:eastAsia="仿宋"/>
                              <w:sz w:val="24"/>
                              <w:szCs w:val="24"/>
                            </w:rPr>
                            <w:t>69</w:t>
                          </w:r>
                          <w:r>
                            <w:rPr>
                              <w:rFonts w:ascii="Times New Roman" w:hAnsi="Times New Roman" w:eastAsia="仿宋"/>
                              <w:sz w:val="24"/>
                              <w:szCs w:val="24"/>
                            </w:rPr>
                            <w:fldChar w:fldCharType="end"/>
                          </w:r>
                          <w:r>
                            <w:rPr>
                              <w:rFonts w:ascii="Times New Roman" w:hAnsi="Times New Roman" w:eastAsia="仿宋"/>
                              <w:sz w:val="24"/>
                              <w:szCs w:val="24"/>
                            </w:rPr>
                            <w:t xml:space="preserve"> —</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2cvmSsQEA&#10;AE4DAAAOAAAAAAAAAAEAIAAAAB4BAABkcnMvZTJvRG9jLnhtbFBLBQYAAAAABgAGAFkBAABBBQAA&#10;AAA=&#10;">
              <v:fill on="f" focussize="0,0"/>
              <v:stroke on="f"/>
              <v:imagedata o:title=""/>
              <o:lock v:ext="edit" aspectratio="f"/>
              <v:textbox inset="0mm,0mm,0mm,0mm" style="mso-fit-shape-to-text:t;">
                <w:txbxContent>
                  <w:p>
                    <w:pPr>
                      <w:pStyle w:val="11"/>
                      <w:rPr>
                        <w:rFonts w:ascii="Times New Roman" w:hAnsi="Times New Roman" w:eastAsia="仿宋"/>
                        <w:sz w:val="24"/>
                        <w:szCs w:val="24"/>
                      </w:rPr>
                    </w:pPr>
                    <w:r>
                      <w:rPr>
                        <w:rFonts w:ascii="Times New Roman" w:hAnsi="Times New Roman" w:eastAsia="仿宋"/>
                        <w:sz w:val="24"/>
                        <w:szCs w:val="24"/>
                      </w:rPr>
                      <w:t xml:space="preserve">— </w:t>
                    </w:r>
                    <w:r>
                      <w:rPr>
                        <w:rFonts w:ascii="Times New Roman" w:hAnsi="Times New Roman" w:eastAsia="仿宋"/>
                        <w:sz w:val="24"/>
                        <w:szCs w:val="24"/>
                      </w:rPr>
                      <w:fldChar w:fldCharType="begin"/>
                    </w:r>
                    <w:r>
                      <w:rPr>
                        <w:rFonts w:ascii="Times New Roman" w:hAnsi="Times New Roman" w:eastAsia="仿宋"/>
                        <w:sz w:val="24"/>
                        <w:szCs w:val="24"/>
                      </w:rPr>
                      <w:instrText xml:space="preserve"> PAGE  \* MERGEFORMAT </w:instrText>
                    </w:r>
                    <w:r>
                      <w:rPr>
                        <w:rFonts w:ascii="Times New Roman" w:hAnsi="Times New Roman" w:eastAsia="仿宋"/>
                        <w:sz w:val="24"/>
                        <w:szCs w:val="24"/>
                      </w:rPr>
                      <w:fldChar w:fldCharType="separate"/>
                    </w:r>
                    <w:r>
                      <w:rPr>
                        <w:rFonts w:ascii="Times New Roman" w:hAnsi="Times New Roman" w:eastAsia="仿宋"/>
                        <w:sz w:val="24"/>
                        <w:szCs w:val="24"/>
                      </w:rPr>
                      <w:t>69</w:t>
                    </w:r>
                    <w:r>
                      <w:rPr>
                        <w:rFonts w:ascii="Times New Roman" w:hAnsi="Times New Roman" w:eastAsia="仿宋"/>
                        <w:sz w:val="24"/>
                        <w:szCs w:val="24"/>
                      </w:rPr>
                      <w:fldChar w:fldCharType="end"/>
                    </w:r>
                    <w:r>
                      <w:rPr>
                        <w:rFonts w:ascii="Times New Roman" w:hAnsi="Times New Roman" w:eastAsia="仿宋"/>
                        <w:sz w:val="24"/>
                        <w:szCs w:val="24"/>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EFBC3"/>
    <w:multiLevelType w:val="singleLevel"/>
    <w:tmpl w:val="5EDEFBC3"/>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F2"/>
    <w:rsid w:val="00012D7F"/>
    <w:rsid w:val="000130D7"/>
    <w:rsid w:val="00015C71"/>
    <w:rsid w:val="00020E38"/>
    <w:rsid w:val="00022E65"/>
    <w:rsid w:val="00023A8B"/>
    <w:rsid w:val="000257AB"/>
    <w:rsid w:val="00030172"/>
    <w:rsid w:val="000321AC"/>
    <w:rsid w:val="0004133C"/>
    <w:rsid w:val="00044744"/>
    <w:rsid w:val="000519FD"/>
    <w:rsid w:val="0005280B"/>
    <w:rsid w:val="00052B6C"/>
    <w:rsid w:val="00060438"/>
    <w:rsid w:val="000630AB"/>
    <w:rsid w:val="00063ADC"/>
    <w:rsid w:val="00065AB5"/>
    <w:rsid w:val="0006667F"/>
    <w:rsid w:val="00066AD0"/>
    <w:rsid w:val="00070377"/>
    <w:rsid w:val="00075712"/>
    <w:rsid w:val="000806F8"/>
    <w:rsid w:val="00086D47"/>
    <w:rsid w:val="00090731"/>
    <w:rsid w:val="00090932"/>
    <w:rsid w:val="00090EAA"/>
    <w:rsid w:val="00091BE9"/>
    <w:rsid w:val="00095D47"/>
    <w:rsid w:val="00097301"/>
    <w:rsid w:val="00097DE6"/>
    <w:rsid w:val="000A4E8C"/>
    <w:rsid w:val="000A51B9"/>
    <w:rsid w:val="000A7753"/>
    <w:rsid w:val="000A79D3"/>
    <w:rsid w:val="000A7E4F"/>
    <w:rsid w:val="000B0924"/>
    <w:rsid w:val="000B3C86"/>
    <w:rsid w:val="000B6EED"/>
    <w:rsid w:val="000C1509"/>
    <w:rsid w:val="000C1586"/>
    <w:rsid w:val="000C17A2"/>
    <w:rsid w:val="000C2E6E"/>
    <w:rsid w:val="000C6264"/>
    <w:rsid w:val="000C7EC8"/>
    <w:rsid w:val="000D0979"/>
    <w:rsid w:val="000D1F1B"/>
    <w:rsid w:val="000D20F4"/>
    <w:rsid w:val="000D6BE7"/>
    <w:rsid w:val="000E0608"/>
    <w:rsid w:val="000E18F4"/>
    <w:rsid w:val="000E690C"/>
    <w:rsid w:val="000E6CE4"/>
    <w:rsid w:val="000F22CB"/>
    <w:rsid w:val="000F2D13"/>
    <w:rsid w:val="001019AF"/>
    <w:rsid w:val="00102F40"/>
    <w:rsid w:val="0010407D"/>
    <w:rsid w:val="0010781C"/>
    <w:rsid w:val="00112F83"/>
    <w:rsid w:val="001135F5"/>
    <w:rsid w:val="00113941"/>
    <w:rsid w:val="00115A5B"/>
    <w:rsid w:val="00117715"/>
    <w:rsid w:val="00124F68"/>
    <w:rsid w:val="00125335"/>
    <w:rsid w:val="00125D41"/>
    <w:rsid w:val="00127A9D"/>
    <w:rsid w:val="001313EA"/>
    <w:rsid w:val="00132940"/>
    <w:rsid w:val="00133C5C"/>
    <w:rsid w:val="00141E15"/>
    <w:rsid w:val="00154778"/>
    <w:rsid w:val="00155751"/>
    <w:rsid w:val="00155871"/>
    <w:rsid w:val="00156433"/>
    <w:rsid w:val="001650C2"/>
    <w:rsid w:val="00165689"/>
    <w:rsid w:val="00172A27"/>
    <w:rsid w:val="00180868"/>
    <w:rsid w:val="0018150F"/>
    <w:rsid w:val="001840AD"/>
    <w:rsid w:val="00192859"/>
    <w:rsid w:val="00193C7A"/>
    <w:rsid w:val="0019492C"/>
    <w:rsid w:val="00195BC3"/>
    <w:rsid w:val="00196B52"/>
    <w:rsid w:val="001A0374"/>
    <w:rsid w:val="001A13F7"/>
    <w:rsid w:val="001A2D42"/>
    <w:rsid w:val="001A4B90"/>
    <w:rsid w:val="001A6449"/>
    <w:rsid w:val="001B36A5"/>
    <w:rsid w:val="001B6770"/>
    <w:rsid w:val="001C10E9"/>
    <w:rsid w:val="001C185F"/>
    <w:rsid w:val="001C3C8B"/>
    <w:rsid w:val="001C4BFA"/>
    <w:rsid w:val="001D1C37"/>
    <w:rsid w:val="001D3D62"/>
    <w:rsid w:val="001D4FCD"/>
    <w:rsid w:val="001E0CF4"/>
    <w:rsid w:val="001E1D4F"/>
    <w:rsid w:val="001E54AC"/>
    <w:rsid w:val="001E566B"/>
    <w:rsid w:val="001F0595"/>
    <w:rsid w:val="001F16C1"/>
    <w:rsid w:val="00201A36"/>
    <w:rsid w:val="00204B98"/>
    <w:rsid w:val="00204EEC"/>
    <w:rsid w:val="00205478"/>
    <w:rsid w:val="00207ED9"/>
    <w:rsid w:val="00211079"/>
    <w:rsid w:val="00212D9A"/>
    <w:rsid w:val="002241C3"/>
    <w:rsid w:val="00226A67"/>
    <w:rsid w:val="00227D18"/>
    <w:rsid w:val="00232AB4"/>
    <w:rsid w:val="002339B0"/>
    <w:rsid w:val="00235784"/>
    <w:rsid w:val="00236297"/>
    <w:rsid w:val="00236606"/>
    <w:rsid w:val="00241E3B"/>
    <w:rsid w:val="00254AA9"/>
    <w:rsid w:val="0025760A"/>
    <w:rsid w:val="00263078"/>
    <w:rsid w:val="00264693"/>
    <w:rsid w:val="0026476C"/>
    <w:rsid w:val="002755B1"/>
    <w:rsid w:val="002802D4"/>
    <w:rsid w:val="00285BC0"/>
    <w:rsid w:val="002903F9"/>
    <w:rsid w:val="0029242D"/>
    <w:rsid w:val="0029677E"/>
    <w:rsid w:val="002A5130"/>
    <w:rsid w:val="002A6400"/>
    <w:rsid w:val="002B0717"/>
    <w:rsid w:val="002B3EB6"/>
    <w:rsid w:val="002B7934"/>
    <w:rsid w:val="002C0453"/>
    <w:rsid w:val="002C13CF"/>
    <w:rsid w:val="002C1496"/>
    <w:rsid w:val="002C5446"/>
    <w:rsid w:val="002C669E"/>
    <w:rsid w:val="002C74A1"/>
    <w:rsid w:val="002D476E"/>
    <w:rsid w:val="002E1024"/>
    <w:rsid w:val="002E4D78"/>
    <w:rsid w:val="002E7E8A"/>
    <w:rsid w:val="002F1770"/>
    <w:rsid w:val="0030044F"/>
    <w:rsid w:val="00300A70"/>
    <w:rsid w:val="00301E30"/>
    <w:rsid w:val="00301F85"/>
    <w:rsid w:val="00302000"/>
    <w:rsid w:val="00302494"/>
    <w:rsid w:val="00302CA1"/>
    <w:rsid w:val="003034B7"/>
    <w:rsid w:val="00304339"/>
    <w:rsid w:val="00312065"/>
    <w:rsid w:val="003210DD"/>
    <w:rsid w:val="003215F1"/>
    <w:rsid w:val="00324713"/>
    <w:rsid w:val="00324BCB"/>
    <w:rsid w:val="003268B3"/>
    <w:rsid w:val="00327424"/>
    <w:rsid w:val="003309A4"/>
    <w:rsid w:val="003355AD"/>
    <w:rsid w:val="00336302"/>
    <w:rsid w:val="00340FA6"/>
    <w:rsid w:val="00344D25"/>
    <w:rsid w:val="00345EA6"/>
    <w:rsid w:val="00347352"/>
    <w:rsid w:val="00350AE1"/>
    <w:rsid w:val="003547EE"/>
    <w:rsid w:val="00355564"/>
    <w:rsid w:val="003657F5"/>
    <w:rsid w:val="0036655C"/>
    <w:rsid w:val="00366619"/>
    <w:rsid w:val="0036672A"/>
    <w:rsid w:val="003734B3"/>
    <w:rsid w:val="0037518B"/>
    <w:rsid w:val="003756E0"/>
    <w:rsid w:val="00381293"/>
    <w:rsid w:val="0038157B"/>
    <w:rsid w:val="0038476E"/>
    <w:rsid w:val="00387C29"/>
    <w:rsid w:val="003939AD"/>
    <w:rsid w:val="003962EB"/>
    <w:rsid w:val="00396956"/>
    <w:rsid w:val="003A179A"/>
    <w:rsid w:val="003A2FF4"/>
    <w:rsid w:val="003A5B90"/>
    <w:rsid w:val="003A65D7"/>
    <w:rsid w:val="003B0C75"/>
    <w:rsid w:val="003B3539"/>
    <w:rsid w:val="003B7AAC"/>
    <w:rsid w:val="003C158E"/>
    <w:rsid w:val="003C321B"/>
    <w:rsid w:val="003C37FF"/>
    <w:rsid w:val="003D6FC2"/>
    <w:rsid w:val="003E0AB6"/>
    <w:rsid w:val="003E18BF"/>
    <w:rsid w:val="003E1CFB"/>
    <w:rsid w:val="003E1D99"/>
    <w:rsid w:val="003E383B"/>
    <w:rsid w:val="003F2208"/>
    <w:rsid w:val="003F39B9"/>
    <w:rsid w:val="003F3C6F"/>
    <w:rsid w:val="003F78B0"/>
    <w:rsid w:val="00401003"/>
    <w:rsid w:val="004012E5"/>
    <w:rsid w:val="00402175"/>
    <w:rsid w:val="00403B98"/>
    <w:rsid w:val="004055BB"/>
    <w:rsid w:val="00405A2E"/>
    <w:rsid w:val="004071F1"/>
    <w:rsid w:val="004109FE"/>
    <w:rsid w:val="00410CB5"/>
    <w:rsid w:val="004166B2"/>
    <w:rsid w:val="004178CA"/>
    <w:rsid w:val="00417CE0"/>
    <w:rsid w:val="00425D03"/>
    <w:rsid w:val="00427DF0"/>
    <w:rsid w:val="004304DB"/>
    <w:rsid w:val="00433BCD"/>
    <w:rsid w:val="00442D71"/>
    <w:rsid w:val="0044405B"/>
    <w:rsid w:val="00444ADE"/>
    <w:rsid w:val="00446783"/>
    <w:rsid w:val="00450562"/>
    <w:rsid w:val="00451F0A"/>
    <w:rsid w:val="004524A5"/>
    <w:rsid w:val="00452724"/>
    <w:rsid w:val="004533BF"/>
    <w:rsid w:val="00455FB9"/>
    <w:rsid w:val="004560B8"/>
    <w:rsid w:val="00457BC9"/>
    <w:rsid w:val="00457EF7"/>
    <w:rsid w:val="00461CE4"/>
    <w:rsid w:val="00462251"/>
    <w:rsid w:val="0046345D"/>
    <w:rsid w:val="00464BE7"/>
    <w:rsid w:val="004668BC"/>
    <w:rsid w:val="004703BC"/>
    <w:rsid w:val="00472063"/>
    <w:rsid w:val="00472417"/>
    <w:rsid w:val="004730D4"/>
    <w:rsid w:val="00477894"/>
    <w:rsid w:val="00477D39"/>
    <w:rsid w:val="00481B0F"/>
    <w:rsid w:val="004862F6"/>
    <w:rsid w:val="0049002A"/>
    <w:rsid w:val="00491CC0"/>
    <w:rsid w:val="0049554D"/>
    <w:rsid w:val="0049640B"/>
    <w:rsid w:val="00497638"/>
    <w:rsid w:val="004A0C9B"/>
    <w:rsid w:val="004A319D"/>
    <w:rsid w:val="004B2810"/>
    <w:rsid w:val="004B75D7"/>
    <w:rsid w:val="004C08D0"/>
    <w:rsid w:val="004C311C"/>
    <w:rsid w:val="004C3D95"/>
    <w:rsid w:val="004C5EEE"/>
    <w:rsid w:val="004C62B4"/>
    <w:rsid w:val="004D0452"/>
    <w:rsid w:val="004D446B"/>
    <w:rsid w:val="004D5ED2"/>
    <w:rsid w:val="004E2281"/>
    <w:rsid w:val="004E41B5"/>
    <w:rsid w:val="004E41D9"/>
    <w:rsid w:val="004F12D4"/>
    <w:rsid w:val="004F1864"/>
    <w:rsid w:val="004F2926"/>
    <w:rsid w:val="004F3557"/>
    <w:rsid w:val="004F49BD"/>
    <w:rsid w:val="004F4BB5"/>
    <w:rsid w:val="004F4BFD"/>
    <w:rsid w:val="004F53D5"/>
    <w:rsid w:val="004F7634"/>
    <w:rsid w:val="00502F18"/>
    <w:rsid w:val="00503E05"/>
    <w:rsid w:val="0051556A"/>
    <w:rsid w:val="00523329"/>
    <w:rsid w:val="00524C54"/>
    <w:rsid w:val="00525B89"/>
    <w:rsid w:val="005266AD"/>
    <w:rsid w:val="00532C6A"/>
    <w:rsid w:val="005349A8"/>
    <w:rsid w:val="00536235"/>
    <w:rsid w:val="0054029C"/>
    <w:rsid w:val="00540A1D"/>
    <w:rsid w:val="005415C2"/>
    <w:rsid w:val="00542FE7"/>
    <w:rsid w:val="00543891"/>
    <w:rsid w:val="00546A65"/>
    <w:rsid w:val="00547D0D"/>
    <w:rsid w:val="00553FDB"/>
    <w:rsid w:val="005540B6"/>
    <w:rsid w:val="00554442"/>
    <w:rsid w:val="0055509E"/>
    <w:rsid w:val="0056017F"/>
    <w:rsid w:val="00562081"/>
    <w:rsid w:val="0056598F"/>
    <w:rsid w:val="00566E1B"/>
    <w:rsid w:val="00570C0E"/>
    <w:rsid w:val="00582BE5"/>
    <w:rsid w:val="005860A6"/>
    <w:rsid w:val="00594267"/>
    <w:rsid w:val="005B154D"/>
    <w:rsid w:val="005B2CC7"/>
    <w:rsid w:val="005B39E6"/>
    <w:rsid w:val="005B4BBD"/>
    <w:rsid w:val="005B599D"/>
    <w:rsid w:val="005C359F"/>
    <w:rsid w:val="005D1ED5"/>
    <w:rsid w:val="005D6D64"/>
    <w:rsid w:val="005E27A8"/>
    <w:rsid w:val="005E7F2C"/>
    <w:rsid w:val="005F3019"/>
    <w:rsid w:val="005F46E3"/>
    <w:rsid w:val="005F5705"/>
    <w:rsid w:val="005F62A0"/>
    <w:rsid w:val="006020EC"/>
    <w:rsid w:val="00607974"/>
    <w:rsid w:val="006100DC"/>
    <w:rsid w:val="0061047B"/>
    <w:rsid w:val="00610B99"/>
    <w:rsid w:val="00612FC3"/>
    <w:rsid w:val="00612FF3"/>
    <w:rsid w:val="00621BD4"/>
    <w:rsid w:val="0063095E"/>
    <w:rsid w:val="00634E51"/>
    <w:rsid w:val="00637CF4"/>
    <w:rsid w:val="00642E96"/>
    <w:rsid w:val="00644CFD"/>
    <w:rsid w:val="006501FE"/>
    <w:rsid w:val="0065063A"/>
    <w:rsid w:val="0066267F"/>
    <w:rsid w:val="006630F0"/>
    <w:rsid w:val="006646E7"/>
    <w:rsid w:val="00671A2E"/>
    <w:rsid w:val="006736CB"/>
    <w:rsid w:val="006772AA"/>
    <w:rsid w:val="00687B0E"/>
    <w:rsid w:val="00696970"/>
    <w:rsid w:val="006A1469"/>
    <w:rsid w:val="006A152D"/>
    <w:rsid w:val="006A307E"/>
    <w:rsid w:val="006A66DA"/>
    <w:rsid w:val="006B23B1"/>
    <w:rsid w:val="006B6916"/>
    <w:rsid w:val="006B6B40"/>
    <w:rsid w:val="006C1D3B"/>
    <w:rsid w:val="006C35D4"/>
    <w:rsid w:val="006C46B1"/>
    <w:rsid w:val="006C66CC"/>
    <w:rsid w:val="006C6EB8"/>
    <w:rsid w:val="006C7EDC"/>
    <w:rsid w:val="006D562C"/>
    <w:rsid w:val="006E18F4"/>
    <w:rsid w:val="006E47AC"/>
    <w:rsid w:val="006E6D6D"/>
    <w:rsid w:val="006F0165"/>
    <w:rsid w:val="006F11E8"/>
    <w:rsid w:val="0070065B"/>
    <w:rsid w:val="00700691"/>
    <w:rsid w:val="00706C1D"/>
    <w:rsid w:val="007074B4"/>
    <w:rsid w:val="0070769F"/>
    <w:rsid w:val="00707B82"/>
    <w:rsid w:val="00714ABA"/>
    <w:rsid w:val="007154C0"/>
    <w:rsid w:val="0071708C"/>
    <w:rsid w:val="00720E47"/>
    <w:rsid w:val="00721342"/>
    <w:rsid w:val="00722E42"/>
    <w:rsid w:val="00722F01"/>
    <w:rsid w:val="00725C7E"/>
    <w:rsid w:val="007273D8"/>
    <w:rsid w:val="0073404A"/>
    <w:rsid w:val="00734273"/>
    <w:rsid w:val="007358BF"/>
    <w:rsid w:val="007379E2"/>
    <w:rsid w:val="0074008D"/>
    <w:rsid w:val="00744768"/>
    <w:rsid w:val="00745A27"/>
    <w:rsid w:val="00747386"/>
    <w:rsid w:val="00753A4C"/>
    <w:rsid w:val="00753E5F"/>
    <w:rsid w:val="007574AB"/>
    <w:rsid w:val="00760A20"/>
    <w:rsid w:val="00761823"/>
    <w:rsid w:val="00764BE8"/>
    <w:rsid w:val="007659AE"/>
    <w:rsid w:val="00766009"/>
    <w:rsid w:val="007678D2"/>
    <w:rsid w:val="00767E20"/>
    <w:rsid w:val="00771478"/>
    <w:rsid w:val="00771B1A"/>
    <w:rsid w:val="0077217B"/>
    <w:rsid w:val="0077315E"/>
    <w:rsid w:val="00773D72"/>
    <w:rsid w:val="007751D0"/>
    <w:rsid w:val="007803CF"/>
    <w:rsid w:val="007875F8"/>
    <w:rsid w:val="0079077E"/>
    <w:rsid w:val="00791F0E"/>
    <w:rsid w:val="007920E0"/>
    <w:rsid w:val="00792904"/>
    <w:rsid w:val="00794067"/>
    <w:rsid w:val="007948CE"/>
    <w:rsid w:val="00796A6C"/>
    <w:rsid w:val="00797EB8"/>
    <w:rsid w:val="00797F74"/>
    <w:rsid w:val="007A014F"/>
    <w:rsid w:val="007B033C"/>
    <w:rsid w:val="007B3F60"/>
    <w:rsid w:val="007B4AE7"/>
    <w:rsid w:val="007B7556"/>
    <w:rsid w:val="007C4608"/>
    <w:rsid w:val="007D7440"/>
    <w:rsid w:val="007E4474"/>
    <w:rsid w:val="007F05EC"/>
    <w:rsid w:val="007F2448"/>
    <w:rsid w:val="007F450D"/>
    <w:rsid w:val="007F7146"/>
    <w:rsid w:val="007F73F8"/>
    <w:rsid w:val="008034B1"/>
    <w:rsid w:val="0080380E"/>
    <w:rsid w:val="0080441A"/>
    <w:rsid w:val="00806621"/>
    <w:rsid w:val="00811C5E"/>
    <w:rsid w:val="00817845"/>
    <w:rsid w:val="00823DDA"/>
    <w:rsid w:val="00823FF7"/>
    <w:rsid w:val="008240D8"/>
    <w:rsid w:val="0082747E"/>
    <w:rsid w:val="00827E8C"/>
    <w:rsid w:val="00840006"/>
    <w:rsid w:val="00843559"/>
    <w:rsid w:val="00843B9B"/>
    <w:rsid w:val="00846F41"/>
    <w:rsid w:val="00847205"/>
    <w:rsid w:val="0084726C"/>
    <w:rsid w:val="008513EF"/>
    <w:rsid w:val="0085277E"/>
    <w:rsid w:val="0085647B"/>
    <w:rsid w:val="00862C9A"/>
    <w:rsid w:val="008641F0"/>
    <w:rsid w:val="00865BB3"/>
    <w:rsid w:val="0086794A"/>
    <w:rsid w:val="00867C41"/>
    <w:rsid w:val="00870FB8"/>
    <w:rsid w:val="008818F0"/>
    <w:rsid w:val="00885E88"/>
    <w:rsid w:val="00886C56"/>
    <w:rsid w:val="00887516"/>
    <w:rsid w:val="008906FF"/>
    <w:rsid w:val="00897595"/>
    <w:rsid w:val="008A4C93"/>
    <w:rsid w:val="008A59C2"/>
    <w:rsid w:val="008A7873"/>
    <w:rsid w:val="008A7985"/>
    <w:rsid w:val="008B03B9"/>
    <w:rsid w:val="008B1B2B"/>
    <w:rsid w:val="008C0DB6"/>
    <w:rsid w:val="008C26A3"/>
    <w:rsid w:val="008C78BA"/>
    <w:rsid w:val="008E0B00"/>
    <w:rsid w:val="008E2EC5"/>
    <w:rsid w:val="008E31B1"/>
    <w:rsid w:val="008E468F"/>
    <w:rsid w:val="008E5B68"/>
    <w:rsid w:val="008E71ED"/>
    <w:rsid w:val="008F09C7"/>
    <w:rsid w:val="008F0F3C"/>
    <w:rsid w:val="008F310A"/>
    <w:rsid w:val="008F3DCE"/>
    <w:rsid w:val="008F7CDB"/>
    <w:rsid w:val="00900CC1"/>
    <w:rsid w:val="009013C8"/>
    <w:rsid w:val="0090321A"/>
    <w:rsid w:val="00903B58"/>
    <w:rsid w:val="00910885"/>
    <w:rsid w:val="00916487"/>
    <w:rsid w:val="009211FF"/>
    <w:rsid w:val="00930273"/>
    <w:rsid w:val="00933AB7"/>
    <w:rsid w:val="009417CE"/>
    <w:rsid w:val="00942484"/>
    <w:rsid w:val="00943509"/>
    <w:rsid w:val="009466B4"/>
    <w:rsid w:val="009471AE"/>
    <w:rsid w:val="00953DD2"/>
    <w:rsid w:val="00954110"/>
    <w:rsid w:val="00954723"/>
    <w:rsid w:val="00955993"/>
    <w:rsid w:val="009570D7"/>
    <w:rsid w:val="009604BB"/>
    <w:rsid w:val="0096431E"/>
    <w:rsid w:val="00966FB9"/>
    <w:rsid w:val="00967760"/>
    <w:rsid w:val="009677B7"/>
    <w:rsid w:val="00972802"/>
    <w:rsid w:val="00973639"/>
    <w:rsid w:val="00973E72"/>
    <w:rsid w:val="00974508"/>
    <w:rsid w:val="00980528"/>
    <w:rsid w:val="009808E2"/>
    <w:rsid w:val="00982D5C"/>
    <w:rsid w:val="009930B9"/>
    <w:rsid w:val="0099379F"/>
    <w:rsid w:val="00993DEF"/>
    <w:rsid w:val="0099503D"/>
    <w:rsid w:val="009A0384"/>
    <w:rsid w:val="009A5659"/>
    <w:rsid w:val="009B0001"/>
    <w:rsid w:val="009B3547"/>
    <w:rsid w:val="009B5592"/>
    <w:rsid w:val="009C46D9"/>
    <w:rsid w:val="009D1D87"/>
    <w:rsid w:val="009E00EA"/>
    <w:rsid w:val="009E04CF"/>
    <w:rsid w:val="009E0CFE"/>
    <w:rsid w:val="009E1A5F"/>
    <w:rsid w:val="009E2FC4"/>
    <w:rsid w:val="009E3021"/>
    <w:rsid w:val="009F07C1"/>
    <w:rsid w:val="009F3832"/>
    <w:rsid w:val="009F42B4"/>
    <w:rsid w:val="009F6FD3"/>
    <w:rsid w:val="009F70A4"/>
    <w:rsid w:val="009F7CE2"/>
    <w:rsid w:val="00A0194D"/>
    <w:rsid w:val="00A02065"/>
    <w:rsid w:val="00A13452"/>
    <w:rsid w:val="00A168E4"/>
    <w:rsid w:val="00A239AC"/>
    <w:rsid w:val="00A23D53"/>
    <w:rsid w:val="00A26883"/>
    <w:rsid w:val="00A3233C"/>
    <w:rsid w:val="00A35FE2"/>
    <w:rsid w:val="00A36448"/>
    <w:rsid w:val="00A37014"/>
    <w:rsid w:val="00A3709B"/>
    <w:rsid w:val="00A40F68"/>
    <w:rsid w:val="00A41090"/>
    <w:rsid w:val="00A45D39"/>
    <w:rsid w:val="00A462AE"/>
    <w:rsid w:val="00A47AD3"/>
    <w:rsid w:val="00A50CC2"/>
    <w:rsid w:val="00A52270"/>
    <w:rsid w:val="00A53418"/>
    <w:rsid w:val="00A53F8A"/>
    <w:rsid w:val="00A5440A"/>
    <w:rsid w:val="00A57DD0"/>
    <w:rsid w:val="00A67054"/>
    <w:rsid w:val="00A679D0"/>
    <w:rsid w:val="00A745EE"/>
    <w:rsid w:val="00A76409"/>
    <w:rsid w:val="00A76522"/>
    <w:rsid w:val="00A83900"/>
    <w:rsid w:val="00A92E39"/>
    <w:rsid w:val="00A931BD"/>
    <w:rsid w:val="00A968D6"/>
    <w:rsid w:val="00AA026E"/>
    <w:rsid w:val="00AA2C2B"/>
    <w:rsid w:val="00AA397D"/>
    <w:rsid w:val="00AB0D35"/>
    <w:rsid w:val="00AB2ABA"/>
    <w:rsid w:val="00AB3C24"/>
    <w:rsid w:val="00AC6A6A"/>
    <w:rsid w:val="00AD0695"/>
    <w:rsid w:val="00AD0881"/>
    <w:rsid w:val="00AD1006"/>
    <w:rsid w:val="00AD1309"/>
    <w:rsid w:val="00AD1691"/>
    <w:rsid w:val="00AD36C3"/>
    <w:rsid w:val="00AE4182"/>
    <w:rsid w:val="00AE5087"/>
    <w:rsid w:val="00AF1B9D"/>
    <w:rsid w:val="00AF3D79"/>
    <w:rsid w:val="00AF5A50"/>
    <w:rsid w:val="00AF5BCF"/>
    <w:rsid w:val="00AF631E"/>
    <w:rsid w:val="00B01C69"/>
    <w:rsid w:val="00B0426E"/>
    <w:rsid w:val="00B056C3"/>
    <w:rsid w:val="00B06ED0"/>
    <w:rsid w:val="00B07771"/>
    <w:rsid w:val="00B120D6"/>
    <w:rsid w:val="00B12558"/>
    <w:rsid w:val="00B132F1"/>
    <w:rsid w:val="00B21E19"/>
    <w:rsid w:val="00B235A0"/>
    <w:rsid w:val="00B2715E"/>
    <w:rsid w:val="00B346A9"/>
    <w:rsid w:val="00B34B58"/>
    <w:rsid w:val="00B45AEE"/>
    <w:rsid w:val="00B51011"/>
    <w:rsid w:val="00B51465"/>
    <w:rsid w:val="00B51D27"/>
    <w:rsid w:val="00B5239D"/>
    <w:rsid w:val="00B56442"/>
    <w:rsid w:val="00B6042F"/>
    <w:rsid w:val="00B61205"/>
    <w:rsid w:val="00B639EC"/>
    <w:rsid w:val="00B73636"/>
    <w:rsid w:val="00B81538"/>
    <w:rsid w:val="00B83518"/>
    <w:rsid w:val="00B8692E"/>
    <w:rsid w:val="00B91110"/>
    <w:rsid w:val="00B91FF1"/>
    <w:rsid w:val="00B922BF"/>
    <w:rsid w:val="00B93762"/>
    <w:rsid w:val="00B94D88"/>
    <w:rsid w:val="00B9521A"/>
    <w:rsid w:val="00B97A95"/>
    <w:rsid w:val="00BA3865"/>
    <w:rsid w:val="00BB5D49"/>
    <w:rsid w:val="00BC288E"/>
    <w:rsid w:val="00BC4449"/>
    <w:rsid w:val="00BD29AF"/>
    <w:rsid w:val="00BD3EAC"/>
    <w:rsid w:val="00BD54E9"/>
    <w:rsid w:val="00BD56AF"/>
    <w:rsid w:val="00BE0BB5"/>
    <w:rsid w:val="00BE24AE"/>
    <w:rsid w:val="00BE4B8F"/>
    <w:rsid w:val="00BE7850"/>
    <w:rsid w:val="00C04542"/>
    <w:rsid w:val="00C05375"/>
    <w:rsid w:val="00C053DE"/>
    <w:rsid w:val="00C10686"/>
    <w:rsid w:val="00C10FF9"/>
    <w:rsid w:val="00C149E4"/>
    <w:rsid w:val="00C15780"/>
    <w:rsid w:val="00C17D20"/>
    <w:rsid w:val="00C17FAA"/>
    <w:rsid w:val="00C22BB6"/>
    <w:rsid w:val="00C24E8D"/>
    <w:rsid w:val="00C25268"/>
    <w:rsid w:val="00C26ACA"/>
    <w:rsid w:val="00C3111E"/>
    <w:rsid w:val="00C31FBE"/>
    <w:rsid w:val="00C3639A"/>
    <w:rsid w:val="00C402FA"/>
    <w:rsid w:val="00C41299"/>
    <w:rsid w:val="00C456AA"/>
    <w:rsid w:val="00C46644"/>
    <w:rsid w:val="00C4698B"/>
    <w:rsid w:val="00C67942"/>
    <w:rsid w:val="00C77457"/>
    <w:rsid w:val="00C803AF"/>
    <w:rsid w:val="00C80A17"/>
    <w:rsid w:val="00C83615"/>
    <w:rsid w:val="00C86D95"/>
    <w:rsid w:val="00C872E8"/>
    <w:rsid w:val="00C91ED2"/>
    <w:rsid w:val="00C920B4"/>
    <w:rsid w:val="00C95E4D"/>
    <w:rsid w:val="00CA2039"/>
    <w:rsid w:val="00CA58EA"/>
    <w:rsid w:val="00CA5B49"/>
    <w:rsid w:val="00CB10EE"/>
    <w:rsid w:val="00CB12F5"/>
    <w:rsid w:val="00CB2D22"/>
    <w:rsid w:val="00CB421D"/>
    <w:rsid w:val="00CB4585"/>
    <w:rsid w:val="00CB5123"/>
    <w:rsid w:val="00CB5E33"/>
    <w:rsid w:val="00CB6AE8"/>
    <w:rsid w:val="00CC068B"/>
    <w:rsid w:val="00CC0DA7"/>
    <w:rsid w:val="00CC1FF3"/>
    <w:rsid w:val="00CC6419"/>
    <w:rsid w:val="00CD095E"/>
    <w:rsid w:val="00CD1115"/>
    <w:rsid w:val="00CD13CC"/>
    <w:rsid w:val="00CD33F3"/>
    <w:rsid w:val="00CD5354"/>
    <w:rsid w:val="00CD5C27"/>
    <w:rsid w:val="00CD6266"/>
    <w:rsid w:val="00CE334C"/>
    <w:rsid w:val="00CE41E2"/>
    <w:rsid w:val="00CE5F63"/>
    <w:rsid w:val="00CE671C"/>
    <w:rsid w:val="00CF06DF"/>
    <w:rsid w:val="00CF1890"/>
    <w:rsid w:val="00D02C6E"/>
    <w:rsid w:val="00D077D5"/>
    <w:rsid w:val="00D07998"/>
    <w:rsid w:val="00D119F0"/>
    <w:rsid w:val="00D13DDD"/>
    <w:rsid w:val="00D14E37"/>
    <w:rsid w:val="00D15D72"/>
    <w:rsid w:val="00D21F5A"/>
    <w:rsid w:val="00D274A5"/>
    <w:rsid w:val="00D30F0D"/>
    <w:rsid w:val="00D40FC0"/>
    <w:rsid w:val="00D42D83"/>
    <w:rsid w:val="00D4523B"/>
    <w:rsid w:val="00D4594F"/>
    <w:rsid w:val="00D46E5C"/>
    <w:rsid w:val="00D52C65"/>
    <w:rsid w:val="00D54FF5"/>
    <w:rsid w:val="00D55545"/>
    <w:rsid w:val="00D57180"/>
    <w:rsid w:val="00D61C0B"/>
    <w:rsid w:val="00D72D25"/>
    <w:rsid w:val="00D77BF3"/>
    <w:rsid w:val="00D83ED9"/>
    <w:rsid w:val="00D93907"/>
    <w:rsid w:val="00D946D7"/>
    <w:rsid w:val="00D9477B"/>
    <w:rsid w:val="00D94F6E"/>
    <w:rsid w:val="00D974EA"/>
    <w:rsid w:val="00DA0792"/>
    <w:rsid w:val="00DA090E"/>
    <w:rsid w:val="00DA0AE0"/>
    <w:rsid w:val="00DA0CC6"/>
    <w:rsid w:val="00DA135B"/>
    <w:rsid w:val="00DA13AD"/>
    <w:rsid w:val="00DA67BE"/>
    <w:rsid w:val="00DA7034"/>
    <w:rsid w:val="00DB1CA8"/>
    <w:rsid w:val="00DB3DD6"/>
    <w:rsid w:val="00DB4136"/>
    <w:rsid w:val="00DB706A"/>
    <w:rsid w:val="00DC4E7D"/>
    <w:rsid w:val="00DC5F38"/>
    <w:rsid w:val="00DC672E"/>
    <w:rsid w:val="00DC6B53"/>
    <w:rsid w:val="00DC6D9D"/>
    <w:rsid w:val="00DC7641"/>
    <w:rsid w:val="00DD2572"/>
    <w:rsid w:val="00DD64AF"/>
    <w:rsid w:val="00DD66D1"/>
    <w:rsid w:val="00DD7B69"/>
    <w:rsid w:val="00DE06D1"/>
    <w:rsid w:val="00DE20A6"/>
    <w:rsid w:val="00DE33E5"/>
    <w:rsid w:val="00DE6C03"/>
    <w:rsid w:val="00DF0A7E"/>
    <w:rsid w:val="00DF1CC9"/>
    <w:rsid w:val="00DF1D8B"/>
    <w:rsid w:val="00DF7112"/>
    <w:rsid w:val="00E00DB3"/>
    <w:rsid w:val="00E042A9"/>
    <w:rsid w:val="00E062D1"/>
    <w:rsid w:val="00E07A55"/>
    <w:rsid w:val="00E1132E"/>
    <w:rsid w:val="00E13A43"/>
    <w:rsid w:val="00E13B18"/>
    <w:rsid w:val="00E14593"/>
    <w:rsid w:val="00E22F1F"/>
    <w:rsid w:val="00E25813"/>
    <w:rsid w:val="00E25A6F"/>
    <w:rsid w:val="00E279B3"/>
    <w:rsid w:val="00E31429"/>
    <w:rsid w:val="00E35C41"/>
    <w:rsid w:val="00E361CD"/>
    <w:rsid w:val="00E37DD0"/>
    <w:rsid w:val="00E4060D"/>
    <w:rsid w:val="00E41D49"/>
    <w:rsid w:val="00E41DD1"/>
    <w:rsid w:val="00E46B74"/>
    <w:rsid w:val="00E47875"/>
    <w:rsid w:val="00E515B3"/>
    <w:rsid w:val="00E52969"/>
    <w:rsid w:val="00E55A2D"/>
    <w:rsid w:val="00E55FC7"/>
    <w:rsid w:val="00E5624E"/>
    <w:rsid w:val="00E6218B"/>
    <w:rsid w:val="00E7227A"/>
    <w:rsid w:val="00E73C99"/>
    <w:rsid w:val="00E74F31"/>
    <w:rsid w:val="00E75A9B"/>
    <w:rsid w:val="00E77633"/>
    <w:rsid w:val="00E77CDD"/>
    <w:rsid w:val="00E81B31"/>
    <w:rsid w:val="00E87B30"/>
    <w:rsid w:val="00E92F64"/>
    <w:rsid w:val="00E942B3"/>
    <w:rsid w:val="00E94659"/>
    <w:rsid w:val="00E957E0"/>
    <w:rsid w:val="00EA36D7"/>
    <w:rsid w:val="00EA6232"/>
    <w:rsid w:val="00EA6CFD"/>
    <w:rsid w:val="00EB28D2"/>
    <w:rsid w:val="00EB53C5"/>
    <w:rsid w:val="00EB68A6"/>
    <w:rsid w:val="00EB7710"/>
    <w:rsid w:val="00EC62A6"/>
    <w:rsid w:val="00ED0042"/>
    <w:rsid w:val="00ED14C3"/>
    <w:rsid w:val="00ED29B9"/>
    <w:rsid w:val="00ED36E2"/>
    <w:rsid w:val="00EE25F5"/>
    <w:rsid w:val="00EE5CD6"/>
    <w:rsid w:val="00EE6C34"/>
    <w:rsid w:val="00EF0BB1"/>
    <w:rsid w:val="00EF34A9"/>
    <w:rsid w:val="00EF3D9B"/>
    <w:rsid w:val="00EF4902"/>
    <w:rsid w:val="00EF5078"/>
    <w:rsid w:val="00F03620"/>
    <w:rsid w:val="00F04657"/>
    <w:rsid w:val="00F115E3"/>
    <w:rsid w:val="00F12BA8"/>
    <w:rsid w:val="00F216BA"/>
    <w:rsid w:val="00F21D20"/>
    <w:rsid w:val="00F2340E"/>
    <w:rsid w:val="00F240E2"/>
    <w:rsid w:val="00F24876"/>
    <w:rsid w:val="00F25070"/>
    <w:rsid w:val="00F25F74"/>
    <w:rsid w:val="00F32AAF"/>
    <w:rsid w:val="00F32CE0"/>
    <w:rsid w:val="00F336CF"/>
    <w:rsid w:val="00F33796"/>
    <w:rsid w:val="00F34D1F"/>
    <w:rsid w:val="00F46385"/>
    <w:rsid w:val="00F50FF0"/>
    <w:rsid w:val="00F51F43"/>
    <w:rsid w:val="00F52C93"/>
    <w:rsid w:val="00F56565"/>
    <w:rsid w:val="00F633DE"/>
    <w:rsid w:val="00F64379"/>
    <w:rsid w:val="00F64A9E"/>
    <w:rsid w:val="00F72597"/>
    <w:rsid w:val="00F77C21"/>
    <w:rsid w:val="00F77C98"/>
    <w:rsid w:val="00F80EAD"/>
    <w:rsid w:val="00F81881"/>
    <w:rsid w:val="00F86F6A"/>
    <w:rsid w:val="00F90B15"/>
    <w:rsid w:val="00F94959"/>
    <w:rsid w:val="00F951F0"/>
    <w:rsid w:val="00F955F4"/>
    <w:rsid w:val="00F974AF"/>
    <w:rsid w:val="00F97F88"/>
    <w:rsid w:val="00FA0EFF"/>
    <w:rsid w:val="00FA22D3"/>
    <w:rsid w:val="00FA3C56"/>
    <w:rsid w:val="00FA46C9"/>
    <w:rsid w:val="00FA4792"/>
    <w:rsid w:val="00FA69A1"/>
    <w:rsid w:val="00FA7961"/>
    <w:rsid w:val="00FB1D41"/>
    <w:rsid w:val="00FB2212"/>
    <w:rsid w:val="00FB3B90"/>
    <w:rsid w:val="00FB4557"/>
    <w:rsid w:val="00FB47AD"/>
    <w:rsid w:val="00FB6240"/>
    <w:rsid w:val="00FB77FF"/>
    <w:rsid w:val="00FC0794"/>
    <w:rsid w:val="00FC0911"/>
    <w:rsid w:val="00FC200D"/>
    <w:rsid w:val="00FC2F7C"/>
    <w:rsid w:val="00FC34A3"/>
    <w:rsid w:val="00FD0387"/>
    <w:rsid w:val="00FD23D1"/>
    <w:rsid w:val="00FD253C"/>
    <w:rsid w:val="00FD293B"/>
    <w:rsid w:val="00FD4377"/>
    <w:rsid w:val="00FD56FD"/>
    <w:rsid w:val="00FE1C4D"/>
    <w:rsid w:val="00FE5E7C"/>
    <w:rsid w:val="00FE6C77"/>
    <w:rsid w:val="00FE7725"/>
    <w:rsid w:val="00FF0EDB"/>
    <w:rsid w:val="00FF371D"/>
    <w:rsid w:val="00FF47FC"/>
    <w:rsid w:val="00FF4C8D"/>
    <w:rsid w:val="012019CF"/>
    <w:rsid w:val="01826A6E"/>
    <w:rsid w:val="01D00FB5"/>
    <w:rsid w:val="01E438DF"/>
    <w:rsid w:val="021E7C76"/>
    <w:rsid w:val="0265280B"/>
    <w:rsid w:val="027A24F5"/>
    <w:rsid w:val="027C7E22"/>
    <w:rsid w:val="02A041DF"/>
    <w:rsid w:val="02B17E8C"/>
    <w:rsid w:val="02BA3E3E"/>
    <w:rsid w:val="02EA3715"/>
    <w:rsid w:val="02F93D39"/>
    <w:rsid w:val="034F5D4B"/>
    <w:rsid w:val="0362106C"/>
    <w:rsid w:val="036775D8"/>
    <w:rsid w:val="036C48D2"/>
    <w:rsid w:val="03F84CE9"/>
    <w:rsid w:val="04332CB1"/>
    <w:rsid w:val="044B4487"/>
    <w:rsid w:val="044F141B"/>
    <w:rsid w:val="04926276"/>
    <w:rsid w:val="049634E6"/>
    <w:rsid w:val="04B50AF9"/>
    <w:rsid w:val="04C906EA"/>
    <w:rsid w:val="04D870BC"/>
    <w:rsid w:val="05071243"/>
    <w:rsid w:val="051D0E69"/>
    <w:rsid w:val="054E13FB"/>
    <w:rsid w:val="05CB0EE5"/>
    <w:rsid w:val="05F606B3"/>
    <w:rsid w:val="063D19B3"/>
    <w:rsid w:val="066506ED"/>
    <w:rsid w:val="066C788D"/>
    <w:rsid w:val="066F2196"/>
    <w:rsid w:val="06CB6C18"/>
    <w:rsid w:val="06DD0DAE"/>
    <w:rsid w:val="07023A05"/>
    <w:rsid w:val="072B4342"/>
    <w:rsid w:val="075141A6"/>
    <w:rsid w:val="07674D2F"/>
    <w:rsid w:val="07CC706B"/>
    <w:rsid w:val="07EA4390"/>
    <w:rsid w:val="089A7165"/>
    <w:rsid w:val="09061BD7"/>
    <w:rsid w:val="0989217C"/>
    <w:rsid w:val="09B818FD"/>
    <w:rsid w:val="09D009B0"/>
    <w:rsid w:val="09F219D5"/>
    <w:rsid w:val="09F53197"/>
    <w:rsid w:val="0A1D7188"/>
    <w:rsid w:val="0A313B07"/>
    <w:rsid w:val="0B036DE1"/>
    <w:rsid w:val="0B152D08"/>
    <w:rsid w:val="0B443F15"/>
    <w:rsid w:val="0B9D21DC"/>
    <w:rsid w:val="0BA241B8"/>
    <w:rsid w:val="0BB054A1"/>
    <w:rsid w:val="0BEB5510"/>
    <w:rsid w:val="0BFE74C8"/>
    <w:rsid w:val="0C023C46"/>
    <w:rsid w:val="0C025463"/>
    <w:rsid w:val="0C3F577A"/>
    <w:rsid w:val="0C4D265E"/>
    <w:rsid w:val="0C645DE5"/>
    <w:rsid w:val="0C6A4A04"/>
    <w:rsid w:val="0D206C88"/>
    <w:rsid w:val="0D3400A2"/>
    <w:rsid w:val="0D3E4D1D"/>
    <w:rsid w:val="0D6A358E"/>
    <w:rsid w:val="0DA2228E"/>
    <w:rsid w:val="0DBC4AE0"/>
    <w:rsid w:val="0DD4509D"/>
    <w:rsid w:val="0DD7720E"/>
    <w:rsid w:val="0E39613B"/>
    <w:rsid w:val="0E6D42B0"/>
    <w:rsid w:val="0E877599"/>
    <w:rsid w:val="0EA5133F"/>
    <w:rsid w:val="0F12768D"/>
    <w:rsid w:val="0F1437AF"/>
    <w:rsid w:val="0F602377"/>
    <w:rsid w:val="0F81771C"/>
    <w:rsid w:val="0F97016E"/>
    <w:rsid w:val="0FB426B0"/>
    <w:rsid w:val="0FE34912"/>
    <w:rsid w:val="0FE97128"/>
    <w:rsid w:val="0FF3333F"/>
    <w:rsid w:val="0FF77FD6"/>
    <w:rsid w:val="100A7668"/>
    <w:rsid w:val="10202800"/>
    <w:rsid w:val="108230D0"/>
    <w:rsid w:val="1083456B"/>
    <w:rsid w:val="109C5456"/>
    <w:rsid w:val="10A161E7"/>
    <w:rsid w:val="10EB5AB6"/>
    <w:rsid w:val="110879B1"/>
    <w:rsid w:val="11204734"/>
    <w:rsid w:val="122D6044"/>
    <w:rsid w:val="124645C2"/>
    <w:rsid w:val="125A66A1"/>
    <w:rsid w:val="128A01A4"/>
    <w:rsid w:val="12BD6E9D"/>
    <w:rsid w:val="130D5B20"/>
    <w:rsid w:val="1329077B"/>
    <w:rsid w:val="133C1A58"/>
    <w:rsid w:val="134C4DC2"/>
    <w:rsid w:val="13667DBB"/>
    <w:rsid w:val="136D13D4"/>
    <w:rsid w:val="13897E8E"/>
    <w:rsid w:val="13C02846"/>
    <w:rsid w:val="13D1422F"/>
    <w:rsid w:val="13D72780"/>
    <w:rsid w:val="13DF390E"/>
    <w:rsid w:val="13EE5062"/>
    <w:rsid w:val="14A378AF"/>
    <w:rsid w:val="14DB6E54"/>
    <w:rsid w:val="15402F41"/>
    <w:rsid w:val="156625C9"/>
    <w:rsid w:val="15811587"/>
    <w:rsid w:val="15AD4A40"/>
    <w:rsid w:val="15ED4F63"/>
    <w:rsid w:val="15F70202"/>
    <w:rsid w:val="16001E7B"/>
    <w:rsid w:val="16143D14"/>
    <w:rsid w:val="16203F3F"/>
    <w:rsid w:val="162746F4"/>
    <w:rsid w:val="162A42F5"/>
    <w:rsid w:val="163D25AE"/>
    <w:rsid w:val="164D6F49"/>
    <w:rsid w:val="16626CB1"/>
    <w:rsid w:val="168072D1"/>
    <w:rsid w:val="16A451A5"/>
    <w:rsid w:val="16E93130"/>
    <w:rsid w:val="17394F8C"/>
    <w:rsid w:val="17EA5F44"/>
    <w:rsid w:val="18041B4D"/>
    <w:rsid w:val="180A4A34"/>
    <w:rsid w:val="18124EAD"/>
    <w:rsid w:val="181E0772"/>
    <w:rsid w:val="18377229"/>
    <w:rsid w:val="18434A8E"/>
    <w:rsid w:val="1867515C"/>
    <w:rsid w:val="1886276B"/>
    <w:rsid w:val="18897411"/>
    <w:rsid w:val="18B00D20"/>
    <w:rsid w:val="19233AD6"/>
    <w:rsid w:val="19245869"/>
    <w:rsid w:val="194D7471"/>
    <w:rsid w:val="194F181A"/>
    <w:rsid w:val="19637A9F"/>
    <w:rsid w:val="199E2230"/>
    <w:rsid w:val="19A55DF7"/>
    <w:rsid w:val="19FE12BF"/>
    <w:rsid w:val="1A0276AA"/>
    <w:rsid w:val="1A5C212E"/>
    <w:rsid w:val="1A62213F"/>
    <w:rsid w:val="1AF54759"/>
    <w:rsid w:val="1B192534"/>
    <w:rsid w:val="1B244C0D"/>
    <w:rsid w:val="1B3177ED"/>
    <w:rsid w:val="1B326ECB"/>
    <w:rsid w:val="1B5A42E8"/>
    <w:rsid w:val="1B6175ED"/>
    <w:rsid w:val="1B953751"/>
    <w:rsid w:val="1BB24470"/>
    <w:rsid w:val="1BF257AA"/>
    <w:rsid w:val="1C1407F9"/>
    <w:rsid w:val="1C230FC2"/>
    <w:rsid w:val="1C3C6998"/>
    <w:rsid w:val="1C544A6F"/>
    <w:rsid w:val="1C6B7925"/>
    <w:rsid w:val="1CAA1178"/>
    <w:rsid w:val="1CBB51EB"/>
    <w:rsid w:val="1D62169F"/>
    <w:rsid w:val="1D695057"/>
    <w:rsid w:val="1DAB627A"/>
    <w:rsid w:val="1DBF5AD0"/>
    <w:rsid w:val="1DD6121A"/>
    <w:rsid w:val="1E0E0546"/>
    <w:rsid w:val="1E2F5330"/>
    <w:rsid w:val="1E5E0D95"/>
    <w:rsid w:val="1E6D2595"/>
    <w:rsid w:val="1E8201E3"/>
    <w:rsid w:val="1EA27001"/>
    <w:rsid w:val="1EB4527A"/>
    <w:rsid w:val="1ED44D8D"/>
    <w:rsid w:val="1F6A1D5A"/>
    <w:rsid w:val="1F91379E"/>
    <w:rsid w:val="1FAA3ABE"/>
    <w:rsid w:val="1FE14BAD"/>
    <w:rsid w:val="1FEC7B2B"/>
    <w:rsid w:val="20334349"/>
    <w:rsid w:val="20371322"/>
    <w:rsid w:val="20C23FA8"/>
    <w:rsid w:val="20CF2A97"/>
    <w:rsid w:val="20DA1C06"/>
    <w:rsid w:val="21595193"/>
    <w:rsid w:val="21DC09EE"/>
    <w:rsid w:val="22026615"/>
    <w:rsid w:val="2226660D"/>
    <w:rsid w:val="223B6441"/>
    <w:rsid w:val="22516FD9"/>
    <w:rsid w:val="22674D04"/>
    <w:rsid w:val="22706E9B"/>
    <w:rsid w:val="22984109"/>
    <w:rsid w:val="22A6073F"/>
    <w:rsid w:val="22DC20B2"/>
    <w:rsid w:val="22F34C77"/>
    <w:rsid w:val="22FA6326"/>
    <w:rsid w:val="22FF2505"/>
    <w:rsid w:val="230E01D6"/>
    <w:rsid w:val="2313512C"/>
    <w:rsid w:val="2318412A"/>
    <w:rsid w:val="233D53F0"/>
    <w:rsid w:val="2346439A"/>
    <w:rsid w:val="23654C9B"/>
    <w:rsid w:val="236B0809"/>
    <w:rsid w:val="23823DC1"/>
    <w:rsid w:val="239D1100"/>
    <w:rsid w:val="23E3528B"/>
    <w:rsid w:val="23FA6DF4"/>
    <w:rsid w:val="24005C5E"/>
    <w:rsid w:val="241E4B16"/>
    <w:rsid w:val="250459B8"/>
    <w:rsid w:val="25187003"/>
    <w:rsid w:val="25207AB6"/>
    <w:rsid w:val="25384A39"/>
    <w:rsid w:val="25440F68"/>
    <w:rsid w:val="2568290D"/>
    <w:rsid w:val="25702512"/>
    <w:rsid w:val="25802DB7"/>
    <w:rsid w:val="25947C6D"/>
    <w:rsid w:val="25A615D8"/>
    <w:rsid w:val="25A66C3F"/>
    <w:rsid w:val="25D9306C"/>
    <w:rsid w:val="25FB1D31"/>
    <w:rsid w:val="26161A23"/>
    <w:rsid w:val="261A4633"/>
    <w:rsid w:val="262336EC"/>
    <w:rsid w:val="265B5A0A"/>
    <w:rsid w:val="265B7A18"/>
    <w:rsid w:val="2664663F"/>
    <w:rsid w:val="268B7F75"/>
    <w:rsid w:val="26A67C56"/>
    <w:rsid w:val="26C636CD"/>
    <w:rsid w:val="274F6607"/>
    <w:rsid w:val="27606103"/>
    <w:rsid w:val="27716534"/>
    <w:rsid w:val="27917D12"/>
    <w:rsid w:val="279D3833"/>
    <w:rsid w:val="27C174FA"/>
    <w:rsid w:val="27DC0469"/>
    <w:rsid w:val="28042C88"/>
    <w:rsid w:val="28496E44"/>
    <w:rsid w:val="285643AE"/>
    <w:rsid w:val="28781816"/>
    <w:rsid w:val="28A95715"/>
    <w:rsid w:val="28D50E44"/>
    <w:rsid w:val="28E552D7"/>
    <w:rsid w:val="28E644FC"/>
    <w:rsid w:val="28FB6ECA"/>
    <w:rsid w:val="29322E95"/>
    <w:rsid w:val="29951CA9"/>
    <w:rsid w:val="29BB3500"/>
    <w:rsid w:val="2A231B6F"/>
    <w:rsid w:val="2A8253BC"/>
    <w:rsid w:val="2A8D5EAA"/>
    <w:rsid w:val="2ABA5518"/>
    <w:rsid w:val="2ADB35B5"/>
    <w:rsid w:val="2B06229D"/>
    <w:rsid w:val="2B3462C8"/>
    <w:rsid w:val="2B41292C"/>
    <w:rsid w:val="2B5A5165"/>
    <w:rsid w:val="2B976BB7"/>
    <w:rsid w:val="2BA770E5"/>
    <w:rsid w:val="2BB17373"/>
    <w:rsid w:val="2BD050A7"/>
    <w:rsid w:val="2BDD341A"/>
    <w:rsid w:val="2C03456D"/>
    <w:rsid w:val="2C0D24C4"/>
    <w:rsid w:val="2C21719A"/>
    <w:rsid w:val="2C3171B1"/>
    <w:rsid w:val="2CD70FF4"/>
    <w:rsid w:val="2D383F18"/>
    <w:rsid w:val="2D5A60F2"/>
    <w:rsid w:val="2D723421"/>
    <w:rsid w:val="2D7C56CB"/>
    <w:rsid w:val="2D8C4706"/>
    <w:rsid w:val="2DF576D0"/>
    <w:rsid w:val="2DF90ACE"/>
    <w:rsid w:val="2E4C2F1B"/>
    <w:rsid w:val="2E5E11F3"/>
    <w:rsid w:val="2E8B7E1A"/>
    <w:rsid w:val="2EFC7486"/>
    <w:rsid w:val="2EFD7C52"/>
    <w:rsid w:val="2F4C3F5B"/>
    <w:rsid w:val="2F4E772F"/>
    <w:rsid w:val="2F770CB3"/>
    <w:rsid w:val="2F8A644A"/>
    <w:rsid w:val="2FAC1FB1"/>
    <w:rsid w:val="2FE5289D"/>
    <w:rsid w:val="2FF668CC"/>
    <w:rsid w:val="302C0100"/>
    <w:rsid w:val="304B619F"/>
    <w:rsid w:val="30932E66"/>
    <w:rsid w:val="30F16C4A"/>
    <w:rsid w:val="311934C5"/>
    <w:rsid w:val="312847D3"/>
    <w:rsid w:val="312972FC"/>
    <w:rsid w:val="31332C8F"/>
    <w:rsid w:val="31361E85"/>
    <w:rsid w:val="313A292C"/>
    <w:rsid w:val="315C1428"/>
    <w:rsid w:val="31680757"/>
    <w:rsid w:val="31777C39"/>
    <w:rsid w:val="318329C2"/>
    <w:rsid w:val="319B7DBB"/>
    <w:rsid w:val="31FB34B8"/>
    <w:rsid w:val="320C76D3"/>
    <w:rsid w:val="32526199"/>
    <w:rsid w:val="326C0180"/>
    <w:rsid w:val="32790E7C"/>
    <w:rsid w:val="32FC0951"/>
    <w:rsid w:val="3357529F"/>
    <w:rsid w:val="3359446A"/>
    <w:rsid w:val="336C28E9"/>
    <w:rsid w:val="337A6C16"/>
    <w:rsid w:val="338A3D50"/>
    <w:rsid w:val="343C5202"/>
    <w:rsid w:val="3442468D"/>
    <w:rsid w:val="347E6CAE"/>
    <w:rsid w:val="34840003"/>
    <w:rsid w:val="34E440EB"/>
    <w:rsid w:val="34E45207"/>
    <w:rsid w:val="34FA028C"/>
    <w:rsid w:val="352F30DA"/>
    <w:rsid w:val="35365D88"/>
    <w:rsid w:val="35585AEC"/>
    <w:rsid w:val="355B3E12"/>
    <w:rsid w:val="356358D7"/>
    <w:rsid w:val="3575456E"/>
    <w:rsid w:val="3581772B"/>
    <w:rsid w:val="35C858C3"/>
    <w:rsid w:val="35FC4E34"/>
    <w:rsid w:val="36313925"/>
    <w:rsid w:val="36427EE4"/>
    <w:rsid w:val="3647229F"/>
    <w:rsid w:val="365A61CA"/>
    <w:rsid w:val="366501D4"/>
    <w:rsid w:val="368A1206"/>
    <w:rsid w:val="368C1EE9"/>
    <w:rsid w:val="369C4EA7"/>
    <w:rsid w:val="36C14CCE"/>
    <w:rsid w:val="36DD136D"/>
    <w:rsid w:val="37145213"/>
    <w:rsid w:val="3773335F"/>
    <w:rsid w:val="37806580"/>
    <w:rsid w:val="37A44BE5"/>
    <w:rsid w:val="37A7347A"/>
    <w:rsid w:val="37AA7382"/>
    <w:rsid w:val="38366976"/>
    <w:rsid w:val="39113739"/>
    <w:rsid w:val="39317EE2"/>
    <w:rsid w:val="393215E0"/>
    <w:rsid w:val="394C1DC2"/>
    <w:rsid w:val="39630E7F"/>
    <w:rsid w:val="398D2A31"/>
    <w:rsid w:val="39F17E13"/>
    <w:rsid w:val="39F6416A"/>
    <w:rsid w:val="3A100380"/>
    <w:rsid w:val="3A410AAC"/>
    <w:rsid w:val="3A5E026F"/>
    <w:rsid w:val="3A6110D9"/>
    <w:rsid w:val="3ABC495C"/>
    <w:rsid w:val="3B8C022F"/>
    <w:rsid w:val="3BFF2C1C"/>
    <w:rsid w:val="3C342389"/>
    <w:rsid w:val="3C894A0C"/>
    <w:rsid w:val="3C8E6DAA"/>
    <w:rsid w:val="3CC6792F"/>
    <w:rsid w:val="3D0976DC"/>
    <w:rsid w:val="3D0B7262"/>
    <w:rsid w:val="3D9754DE"/>
    <w:rsid w:val="3DCD1BBC"/>
    <w:rsid w:val="3DEC334D"/>
    <w:rsid w:val="3E0011EB"/>
    <w:rsid w:val="3E35079B"/>
    <w:rsid w:val="3E5E41AF"/>
    <w:rsid w:val="3E703CF7"/>
    <w:rsid w:val="3E7C6ABF"/>
    <w:rsid w:val="3EA106DB"/>
    <w:rsid w:val="3ECA5E17"/>
    <w:rsid w:val="3EE22B35"/>
    <w:rsid w:val="3EE95FB5"/>
    <w:rsid w:val="3EF2379E"/>
    <w:rsid w:val="3F216498"/>
    <w:rsid w:val="3F3B5733"/>
    <w:rsid w:val="3F944890"/>
    <w:rsid w:val="3F9F1B5D"/>
    <w:rsid w:val="40137E28"/>
    <w:rsid w:val="40506CDB"/>
    <w:rsid w:val="407E48D3"/>
    <w:rsid w:val="40B50E67"/>
    <w:rsid w:val="40C93410"/>
    <w:rsid w:val="40D91664"/>
    <w:rsid w:val="41870E7E"/>
    <w:rsid w:val="41965ECC"/>
    <w:rsid w:val="419B6260"/>
    <w:rsid w:val="41AD3778"/>
    <w:rsid w:val="41DE3B58"/>
    <w:rsid w:val="41E16DCB"/>
    <w:rsid w:val="4205758F"/>
    <w:rsid w:val="422A2DC6"/>
    <w:rsid w:val="42397E8A"/>
    <w:rsid w:val="423D2A63"/>
    <w:rsid w:val="424D0889"/>
    <w:rsid w:val="4269156C"/>
    <w:rsid w:val="42730FC6"/>
    <w:rsid w:val="42C93C91"/>
    <w:rsid w:val="43095ECC"/>
    <w:rsid w:val="43096351"/>
    <w:rsid w:val="430B22DE"/>
    <w:rsid w:val="430D19B5"/>
    <w:rsid w:val="43224BF9"/>
    <w:rsid w:val="432A2BCA"/>
    <w:rsid w:val="439C4D5F"/>
    <w:rsid w:val="43A7112D"/>
    <w:rsid w:val="43FF7334"/>
    <w:rsid w:val="44675761"/>
    <w:rsid w:val="448046CF"/>
    <w:rsid w:val="44B42ECB"/>
    <w:rsid w:val="44B61F68"/>
    <w:rsid w:val="44E3017F"/>
    <w:rsid w:val="44FB1CCB"/>
    <w:rsid w:val="451271B6"/>
    <w:rsid w:val="45340A9C"/>
    <w:rsid w:val="45A22D92"/>
    <w:rsid w:val="45A56F17"/>
    <w:rsid w:val="45D563BF"/>
    <w:rsid w:val="464B57A2"/>
    <w:rsid w:val="4691046D"/>
    <w:rsid w:val="46AE68CC"/>
    <w:rsid w:val="46B10F6F"/>
    <w:rsid w:val="46E04D58"/>
    <w:rsid w:val="46F33E6B"/>
    <w:rsid w:val="47094F19"/>
    <w:rsid w:val="474A7A36"/>
    <w:rsid w:val="47503882"/>
    <w:rsid w:val="4763083B"/>
    <w:rsid w:val="477D68D2"/>
    <w:rsid w:val="47AC1AAE"/>
    <w:rsid w:val="47C2621B"/>
    <w:rsid w:val="47D218B5"/>
    <w:rsid w:val="47E01947"/>
    <w:rsid w:val="482821E8"/>
    <w:rsid w:val="48540DDD"/>
    <w:rsid w:val="48B91BE0"/>
    <w:rsid w:val="48EB64AC"/>
    <w:rsid w:val="48F74614"/>
    <w:rsid w:val="495E79F3"/>
    <w:rsid w:val="4965705C"/>
    <w:rsid w:val="49BA39E4"/>
    <w:rsid w:val="49BD5E57"/>
    <w:rsid w:val="49E60039"/>
    <w:rsid w:val="4A450C1A"/>
    <w:rsid w:val="4A4C6677"/>
    <w:rsid w:val="4A7E6C0C"/>
    <w:rsid w:val="4A8F77FF"/>
    <w:rsid w:val="4AAE4012"/>
    <w:rsid w:val="4AD553A6"/>
    <w:rsid w:val="4AE94B41"/>
    <w:rsid w:val="4B513BB2"/>
    <w:rsid w:val="4B584B04"/>
    <w:rsid w:val="4B711AC5"/>
    <w:rsid w:val="4B7F7E3D"/>
    <w:rsid w:val="4B8A5BB4"/>
    <w:rsid w:val="4BAC3D10"/>
    <w:rsid w:val="4BD61961"/>
    <w:rsid w:val="4BE45699"/>
    <w:rsid w:val="4C143BFD"/>
    <w:rsid w:val="4C271EB3"/>
    <w:rsid w:val="4C580D11"/>
    <w:rsid w:val="4C685246"/>
    <w:rsid w:val="4C800023"/>
    <w:rsid w:val="4C8B20B1"/>
    <w:rsid w:val="4C9D1F7C"/>
    <w:rsid w:val="4CD42DD9"/>
    <w:rsid w:val="4CDF4EE2"/>
    <w:rsid w:val="4CE9017E"/>
    <w:rsid w:val="4CF07CAE"/>
    <w:rsid w:val="4CFE6ADA"/>
    <w:rsid w:val="4D1B26EF"/>
    <w:rsid w:val="4DA560A4"/>
    <w:rsid w:val="4DBE72E5"/>
    <w:rsid w:val="4DDB1C96"/>
    <w:rsid w:val="4DE44BF3"/>
    <w:rsid w:val="4DED4CA0"/>
    <w:rsid w:val="4E0C519C"/>
    <w:rsid w:val="4E880CCE"/>
    <w:rsid w:val="4EA366BE"/>
    <w:rsid w:val="4F36376A"/>
    <w:rsid w:val="4F4B1C85"/>
    <w:rsid w:val="4F5A1C77"/>
    <w:rsid w:val="4F6737EB"/>
    <w:rsid w:val="4F7211FF"/>
    <w:rsid w:val="4FCA0679"/>
    <w:rsid w:val="500E17E7"/>
    <w:rsid w:val="503432C3"/>
    <w:rsid w:val="50401D15"/>
    <w:rsid w:val="50574913"/>
    <w:rsid w:val="50A66D51"/>
    <w:rsid w:val="50BF0E2E"/>
    <w:rsid w:val="50C12993"/>
    <w:rsid w:val="50D2419C"/>
    <w:rsid w:val="50E02CD6"/>
    <w:rsid w:val="50E42CB0"/>
    <w:rsid w:val="513B633E"/>
    <w:rsid w:val="513D203A"/>
    <w:rsid w:val="51531A6C"/>
    <w:rsid w:val="51567864"/>
    <w:rsid w:val="517643C8"/>
    <w:rsid w:val="517E226F"/>
    <w:rsid w:val="51AA4E40"/>
    <w:rsid w:val="51E045E9"/>
    <w:rsid w:val="526155DF"/>
    <w:rsid w:val="52680B5A"/>
    <w:rsid w:val="5280613A"/>
    <w:rsid w:val="529205E0"/>
    <w:rsid w:val="52E84DE0"/>
    <w:rsid w:val="52FD01DB"/>
    <w:rsid w:val="530754D2"/>
    <w:rsid w:val="53300860"/>
    <w:rsid w:val="533C3876"/>
    <w:rsid w:val="53844AE7"/>
    <w:rsid w:val="539D0875"/>
    <w:rsid w:val="53BA1C14"/>
    <w:rsid w:val="53BC1383"/>
    <w:rsid w:val="53CA0509"/>
    <w:rsid w:val="53D35251"/>
    <w:rsid w:val="53D3625C"/>
    <w:rsid w:val="53D968FF"/>
    <w:rsid w:val="53F076BE"/>
    <w:rsid w:val="54322394"/>
    <w:rsid w:val="544F6595"/>
    <w:rsid w:val="546C5812"/>
    <w:rsid w:val="547010B9"/>
    <w:rsid w:val="547F0791"/>
    <w:rsid w:val="54802BCE"/>
    <w:rsid w:val="54FB075B"/>
    <w:rsid w:val="553C00E6"/>
    <w:rsid w:val="55784E0C"/>
    <w:rsid w:val="55892789"/>
    <w:rsid w:val="558A442E"/>
    <w:rsid w:val="5590411E"/>
    <w:rsid w:val="559856D2"/>
    <w:rsid w:val="55B24CB0"/>
    <w:rsid w:val="55C41312"/>
    <w:rsid w:val="55C86D8C"/>
    <w:rsid w:val="55D96394"/>
    <w:rsid w:val="560D3111"/>
    <w:rsid w:val="56585380"/>
    <w:rsid w:val="56A323BA"/>
    <w:rsid w:val="56DA458A"/>
    <w:rsid w:val="571B0376"/>
    <w:rsid w:val="576E2927"/>
    <w:rsid w:val="57B120FB"/>
    <w:rsid w:val="57B127CD"/>
    <w:rsid w:val="581C1DB9"/>
    <w:rsid w:val="586A4D64"/>
    <w:rsid w:val="589C25D9"/>
    <w:rsid w:val="58B73ADA"/>
    <w:rsid w:val="58F601ED"/>
    <w:rsid w:val="59367DBA"/>
    <w:rsid w:val="59495B04"/>
    <w:rsid w:val="59527078"/>
    <w:rsid w:val="59666D42"/>
    <w:rsid w:val="59947EB5"/>
    <w:rsid w:val="59A964B9"/>
    <w:rsid w:val="59B26C6C"/>
    <w:rsid w:val="59CD4232"/>
    <w:rsid w:val="5A0200CA"/>
    <w:rsid w:val="5A291903"/>
    <w:rsid w:val="5A3E4C4F"/>
    <w:rsid w:val="5A5D01F0"/>
    <w:rsid w:val="5A624FF1"/>
    <w:rsid w:val="5A66700E"/>
    <w:rsid w:val="5A713458"/>
    <w:rsid w:val="5AB26ABE"/>
    <w:rsid w:val="5ACB2C86"/>
    <w:rsid w:val="5ACB52EA"/>
    <w:rsid w:val="5AD308C6"/>
    <w:rsid w:val="5B0D6FD5"/>
    <w:rsid w:val="5B2F62D0"/>
    <w:rsid w:val="5B592AD9"/>
    <w:rsid w:val="5B88357F"/>
    <w:rsid w:val="5B9C78AD"/>
    <w:rsid w:val="5BAD3D92"/>
    <w:rsid w:val="5C067495"/>
    <w:rsid w:val="5C1F13DD"/>
    <w:rsid w:val="5C7B1C6B"/>
    <w:rsid w:val="5CAE2467"/>
    <w:rsid w:val="5CC434F8"/>
    <w:rsid w:val="5CD41102"/>
    <w:rsid w:val="5CD71660"/>
    <w:rsid w:val="5D264D59"/>
    <w:rsid w:val="5D290C5C"/>
    <w:rsid w:val="5D6C0F01"/>
    <w:rsid w:val="5D867260"/>
    <w:rsid w:val="5DA24988"/>
    <w:rsid w:val="5DAB6D62"/>
    <w:rsid w:val="5DB34DA5"/>
    <w:rsid w:val="5E4A40A3"/>
    <w:rsid w:val="5E660288"/>
    <w:rsid w:val="5E7C01A8"/>
    <w:rsid w:val="5E8E03EC"/>
    <w:rsid w:val="5F350BD6"/>
    <w:rsid w:val="5F3D71BB"/>
    <w:rsid w:val="5F964E78"/>
    <w:rsid w:val="60052860"/>
    <w:rsid w:val="602B19D6"/>
    <w:rsid w:val="602B5AEC"/>
    <w:rsid w:val="60400848"/>
    <w:rsid w:val="604D3F02"/>
    <w:rsid w:val="60A03782"/>
    <w:rsid w:val="60A53DDD"/>
    <w:rsid w:val="60DD176B"/>
    <w:rsid w:val="60F2239F"/>
    <w:rsid w:val="61124671"/>
    <w:rsid w:val="6126538A"/>
    <w:rsid w:val="6133141E"/>
    <w:rsid w:val="61447841"/>
    <w:rsid w:val="617B0613"/>
    <w:rsid w:val="61FC4C60"/>
    <w:rsid w:val="624A01A3"/>
    <w:rsid w:val="624A4EA4"/>
    <w:rsid w:val="626F53AC"/>
    <w:rsid w:val="62E10C8C"/>
    <w:rsid w:val="62F017C4"/>
    <w:rsid w:val="62F960F9"/>
    <w:rsid w:val="62FD478E"/>
    <w:rsid w:val="63146ADF"/>
    <w:rsid w:val="634E0DF9"/>
    <w:rsid w:val="63566157"/>
    <w:rsid w:val="638D3E86"/>
    <w:rsid w:val="63A10243"/>
    <w:rsid w:val="63CC68C3"/>
    <w:rsid w:val="642E2361"/>
    <w:rsid w:val="644A5A87"/>
    <w:rsid w:val="644F4160"/>
    <w:rsid w:val="64541F50"/>
    <w:rsid w:val="64565F69"/>
    <w:rsid w:val="645C5628"/>
    <w:rsid w:val="64776CFC"/>
    <w:rsid w:val="648723C4"/>
    <w:rsid w:val="64B660FE"/>
    <w:rsid w:val="64B915A0"/>
    <w:rsid w:val="64BD5D69"/>
    <w:rsid w:val="64CF1F08"/>
    <w:rsid w:val="64D249F7"/>
    <w:rsid w:val="64EF1B24"/>
    <w:rsid w:val="65267454"/>
    <w:rsid w:val="652D5F89"/>
    <w:rsid w:val="65345DF7"/>
    <w:rsid w:val="658D0EEA"/>
    <w:rsid w:val="65955196"/>
    <w:rsid w:val="659A0B4D"/>
    <w:rsid w:val="65A87068"/>
    <w:rsid w:val="65B017E6"/>
    <w:rsid w:val="65B87469"/>
    <w:rsid w:val="65C07D72"/>
    <w:rsid w:val="65CA7AF9"/>
    <w:rsid w:val="65E75312"/>
    <w:rsid w:val="663C5EDF"/>
    <w:rsid w:val="663E2995"/>
    <w:rsid w:val="665A5F08"/>
    <w:rsid w:val="667032B0"/>
    <w:rsid w:val="66961E11"/>
    <w:rsid w:val="66D80271"/>
    <w:rsid w:val="66EE09AF"/>
    <w:rsid w:val="67040094"/>
    <w:rsid w:val="670B26F9"/>
    <w:rsid w:val="676549E1"/>
    <w:rsid w:val="67CE7299"/>
    <w:rsid w:val="683B5AFE"/>
    <w:rsid w:val="68411A36"/>
    <w:rsid w:val="684B69AA"/>
    <w:rsid w:val="68AA22D5"/>
    <w:rsid w:val="68BB6857"/>
    <w:rsid w:val="68C04904"/>
    <w:rsid w:val="68CA7AA3"/>
    <w:rsid w:val="68ED52DD"/>
    <w:rsid w:val="69223C53"/>
    <w:rsid w:val="699039CA"/>
    <w:rsid w:val="69A80DB9"/>
    <w:rsid w:val="69B16299"/>
    <w:rsid w:val="6A0C54A6"/>
    <w:rsid w:val="6A57178C"/>
    <w:rsid w:val="6A7E539B"/>
    <w:rsid w:val="6A841E51"/>
    <w:rsid w:val="6ACE264E"/>
    <w:rsid w:val="6AEF0D50"/>
    <w:rsid w:val="6B1C3AD0"/>
    <w:rsid w:val="6B294E21"/>
    <w:rsid w:val="6B3547A7"/>
    <w:rsid w:val="6B496740"/>
    <w:rsid w:val="6B4D0F71"/>
    <w:rsid w:val="6B550136"/>
    <w:rsid w:val="6B8006BB"/>
    <w:rsid w:val="6BA17492"/>
    <w:rsid w:val="6BB55FBE"/>
    <w:rsid w:val="6BBD4F0E"/>
    <w:rsid w:val="6BE03D79"/>
    <w:rsid w:val="6C014042"/>
    <w:rsid w:val="6C1872DC"/>
    <w:rsid w:val="6C756BE6"/>
    <w:rsid w:val="6C992641"/>
    <w:rsid w:val="6D0C58BC"/>
    <w:rsid w:val="6D2C740B"/>
    <w:rsid w:val="6DE94C25"/>
    <w:rsid w:val="6DEA75CD"/>
    <w:rsid w:val="6E1D7049"/>
    <w:rsid w:val="6E237D17"/>
    <w:rsid w:val="6E6774FA"/>
    <w:rsid w:val="6EA0747E"/>
    <w:rsid w:val="6EB9204E"/>
    <w:rsid w:val="6EBB086F"/>
    <w:rsid w:val="6ECC2B38"/>
    <w:rsid w:val="6ED1002C"/>
    <w:rsid w:val="6EF05368"/>
    <w:rsid w:val="6F1A4E40"/>
    <w:rsid w:val="6FC02EE9"/>
    <w:rsid w:val="702E411C"/>
    <w:rsid w:val="703F2821"/>
    <w:rsid w:val="70484EC9"/>
    <w:rsid w:val="70961351"/>
    <w:rsid w:val="70994DA7"/>
    <w:rsid w:val="70B65BE3"/>
    <w:rsid w:val="70EB10BF"/>
    <w:rsid w:val="70EB1E13"/>
    <w:rsid w:val="71065B87"/>
    <w:rsid w:val="71696C7A"/>
    <w:rsid w:val="71A01CF0"/>
    <w:rsid w:val="71BC6DC9"/>
    <w:rsid w:val="71FD472E"/>
    <w:rsid w:val="72054427"/>
    <w:rsid w:val="72054876"/>
    <w:rsid w:val="72145306"/>
    <w:rsid w:val="7215105C"/>
    <w:rsid w:val="726C28BF"/>
    <w:rsid w:val="728B5E80"/>
    <w:rsid w:val="72BE75AD"/>
    <w:rsid w:val="72C84AFF"/>
    <w:rsid w:val="72D16C68"/>
    <w:rsid w:val="72D935E1"/>
    <w:rsid w:val="72F32F65"/>
    <w:rsid w:val="730947CF"/>
    <w:rsid w:val="73190B08"/>
    <w:rsid w:val="73467F34"/>
    <w:rsid w:val="73785296"/>
    <w:rsid w:val="73863B37"/>
    <w:rsid w:val="738C05CD"/>
    <w:rsid w:val="73E94C8A"/>
    <w:rsid w:val="740A1E39"/>
    <w:rsid w:val="740F4F1D"/>
    <w:rsid w:val="74321859"/>
    <w:rsid w:val="743D1B78"/>
    <w:rsid w:val="747C3D3D"/>
    <w:rsid w:val="74972384"/>
    <w:rsid w:val="74B12199"/>
    <w:rsid w:val="74D46946"/>
    <w:rsid w:val="74EF3261"/>
    <w:rsid w:val="74F125E6"/>
    <w:rsid w:val="74FA3885"/>
    <w:rsid w:val="750859DA"/>
    <w:rsid w:val="751333F7"/>
    <w:rsid w:val="75671677"/>
    <w:rsid w:val="758E1EA5"/>
    <w:rsid w:val="75966EF5"/>
    <w:rsid w:val="75A46AF8"/>
    <w:rsid w:val="76054F9B"/>
    <w:rsid w:val="76094A95"/>
    <w:rsid w:val="760F6EA1"/>
    <w:rsid w:val="768609A9"/>
    <w:rsid w:val="76AC1312"/>
    <w:rsid w:val="771C395F"/>
    <w:rsid w:val="773F2B29"/>
    <w:rsid w:val="77703B0D"/>
    <w:rsid w:val="77870DCD"/>
    <w:rsid w:val="77B522C8"/>
    <w:rsid w:val="77E95E57"/>
    <w:rsid w:val="78057BE6"/>
    <w:rsid w:val="78115EF8"/>
    <w:rsid w:val="78470113"/>
    <w:rsid w:val="78484923"/>
    <w:rsid w:val="78506BD4"/>
    <w:rsid w:val="786D12B4"/>
    <w:rsid w:val="78710EF6"/>
    <w:rsid w:val="788E2705"/>
    <w:rsid w:val="789B0180"/>
    <w:rsid w:val="78A51AC5"/>
    <w:rsid w:val="78D93B2D"/>
    <w:rsid w:val="79160CD6"/>
    <w:rsid w:val="7945388D"/>
    <w:rsid w:val="795536F9"/>
    <w:rsid w:val="79760741"/>
    <w:rsid w:val="79A87B3F"/>
    <w:rsid w:val="79DE6479"/>
    <w:rsid w:val="7A030D97"/>
    <w:rsid w:val="7AB042DD"/>
    <w:rsid w:val="7AC5756A"/>
    <w:rsid w:val="7AED6531"/>
    <w:rsid w:val="7B29735A"/>
    <w:rsid w:val="7B2B2B44"/>
    <w:rsid w:val="7B2E45F2"/>
    <w:rsid w:val="7B2E6F65"/>
    <w:rsid w:val="7BA75209"/>
    <w:rsid w:val="7BA9501C"/>
    <w:rsid w:val="7BB57753"/>
    <w:rsid w:val="7BED2D1F"/>
    <w:rsid w:val="7C003A76"/>
    <w:rsid w:val="7C127D98"/>
    <w:rsid w:val="7CC773AE"/>
    <w:rsid w:val="7CD0102F"/>
    <w:rsid w:val="7CF42441"/>
    <w:rsid w:val="7DA05EA4"/>
    <w:rsid w:val="7DB53C49"/>
    <w:rsid w:val="7DF81818"/>
    <w:rsid w:val="7E9E2E6B"/>
    <w:rsid w:val="7EAA3627"/>
    <w:rsid w:val="7EB3185D"/>
    <w:rsid w:val="7EDB5264"/>
    <w:rsid w:val="7EDF52BE"/>
    <w:rsid w:val="7EF050BF"/>
    <w:rsid w:val="7F0F0B7E"/>
    <w:rsid w:val="7F201213"/>
    <w:rsid w:val="7F9C1D22"/>
    <w:rsid w:val="7FF60C35"/>
    <w:rsid w:val="7FFF7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1"/>
        <w:left w:val="none" w:color="auto" w:sz="0" w:space="4"/>
        <w:bottom w:val="none" w:color="auto" w:sz="0" w:space="1"/>
        <w:right w:val="none" w:color="auto" w:sz="0" w:space="4"/>
      </w:pBdr>
      <w:adjustRightInd w:val="0"/>
      <w:ind w:firstLine="482"/>
    </w:pPr>
    <w:rPr>
      <w:rFonts w:ascii="Calibri" w:hAnsi="Calibri" w:eastAsia="仿宋" w:cs="宋体"/>
      <w:kern w:val="2"/>
      <w:sz w:val="28"/>
      <w:szCs w:val="24"/>
      <w:lang w:val="en-US" w:eastAsia="zh-CN" w:bidi="ar-SA"/>
    </w:rPr>
  </w:style>
  <w:style w:type="paragraph" w:styleId="2">
    <w:name w:val="heading 1"/>
    <w:basedOn w:val="1"/>
    <w:next w:val="1"/>
    <w:qFormat/>
    <w:uiPriority w:val="0"/>
    <w:pPr>
      <w:keepNext/>
      <w:keepLines/>
      <w:spacing w:before="340" w:after="330" w:line="396" w:lineRule="auto"/>
      <w:ind w:firstLine="0"/>
      <w:jc w:val="center"/>
      <w:outlineLvl w:val="0"/>
    </w:pPr>
    <w:rPr>
      <w:rFonts w:eastAsia="黑体" w:cs="Times New Roman"/>
      <w:b/>
      <w:kern w:val="44"/>
      <w:sz w:val="32"/>
    </w:rPr>
  </w:style>
  <w:style w:type="paragraph" w:styleId="3">
    <w:name w:val="heading 2"/>
    <w:basedOn w:val="1"/>
    <w:next w:val="1"/>
    <w:link w:val="25"/>
    <w:qFormat/>
    <w:uiPriority w:val="0"/>
    <w:pPr>
      <w:keepNext/>
      <w:keepLines/>
      <w:pBdr>
        <w:top w:val="none" w:color="auto" w:sz="0" w:space="0"/>
        <w:left w:val="none" w:color="auto" w:sz="0" w:space="0"/>
        <w:bottom w:val="none" w:color="auto" w:sz="0" w:space="0"/>
        <w:right w:val="none" w:color="auto" w:sz="0" w:space="0"/>
      </w:pBdr>
      <w:adjustRightInd/>
      <w:spacing w:before="260" w:after="260" w:line="416" w:lineRule="auto"/>
      <w:ind w:firstLine="0"/>
      <w:jc w:val="both"/>
      <w:outlineLvl w:val="1"/>
    </w:pPr>
    <w:rPr>
      <w:rFonts w:ascii="等线 Light" w:hAnsi="等线 Light" w:eastAsia="等线 Light" w:cs="Times New Roman"/>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spacing w:before="280" w:after="290" w:line="372" w:lineRule="auto"/>
      <w:outlineLvl w:val="4"/>
    </w:pPr>
    <w:rPr>
      <w:b/>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99"/>
    <w:pPr>
      <w:adjustRightInd/>
      <w:ind w:firstLine="420" w:firstLineChars="200"/>
      <w:jc w:val="both"/>
    </w:pPr>
    <w:rPr>
      <w:sz w:val="24"/>
    </w:rPr>
  </w:style>
  <w:style w:type="paragraph" w:styleId="8">
    <w:name w:val="Body Text"/>
    <w:basedOn w:val="1"/>
    <w:next w:val="9"/>
    <w:unhideWhenUsed/>
    <w:qFormat/>
    <w:uiPriority w:val="99"/>
    <w:pPr>
      <w:spacing w:after="120"/>
    </w:pPr>
  </w:style>
  <w:style w:type="paragraph" w:styleId="9">
    <w:name w:val="Title"/>
    <w:basedOn w:val="1"/>
    <w:next w:val="1"/>
    <w:qFormat/>
    <w:uiPriority w:val="0"/>
    <w:pPr>
      <w:spacing w:before="240" w:after="60" w:line="420" w:lineRule="exact"/>
      <w:jc w:val="center"/>
      <w:outlineLvl w:val="0"/>
    </w:pPr>
    <w:rPr>
      <w:rFonts w:ascii="Cambria" w:hAnsi="Cambria" w:eastAsia="黑体" w:cs="Times New Roman"/>
      <w:bCs/>
      <w:sz w:val="24"/>
      <w:szCs w:val="32"/>
    </w:rPr>
  </w:style>
  <w:style w:type="paragraph" w:styleId="10">
    <w:name w:val="Balloon Text"/>
    <w:basedOn w:val="1"/>
    <w:link w:val="26"/>
    <w:qFormat/>
    <w:uiPriority w:val="0"/>
    <w:rPr>
      <w:sz w:val="18"/>
      <w:szCs w:val="18"/>
    </w:rPr>
  </w:style>
  <w:style w:type="paragraph" w:styleId="11">
    <w:name w:val="footer"/>
    <w:basedOn w:val="1"/>
    <w:link w:val="23"/>
    <w:qFormat/>
    <w:uiPriority w:val="0"/>
    <w:pPr>
      <w:tabs>
        <w:tab w:val="center" w:pos="4153"/>
        <w:tab w:val="right" w:pos="8306"/>
      </w:tabs>
      <w:snapToGrid w:val="0"/>
    </w:pPr>
    <w:rPr>
      <w:rFonts w:eastAsia="宋体" w:cs="Times New Roman"/>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rFonts w:eastAsia="宋体" w:cs="Times New Roman"/>
      <w:sz w:val="18"/>
      <w:szCs w:val="18"/>
    </w:rPr>
  </w:style>
  <w:style w:type="paragraph" w:styleId="13">
    <w:name w:val="toc 1"/>
    <w:basedOn w:val="1"/>
    <w:next w:val="1"/>
    <w:qFormat/>
    <w:uiPriority w:val="39"/>
    <w:pPr>
      <w:spacing w:before="120"/>
      <w:jc w:val="center"/>
      <w:outlineLvl w:val="0"/>
    </w:pPr>
    <w:rPr>
      <w:rFonts w:hint="eastAsia" w:ascii="方正小标宋简体" w:hAnsi="Times New Roman" w:eastAsia="方正小标宋简体" w:cs="Times New Roman"/>
      <w:bCs/>
      <w:iCs/>
      <w:sz w:val="24"/>
    </w:rPr>
  </w:style>
  <w:style w:type="paragraph" w:styleId="14">
    <w:name w:val="table of figures"/>
    <w:basedOn w:val="1"/>
    <w:next w:val="1"/>
    <w:qFormat/>
    <w:uiPriority w:val="0"/>
    <w:pPr>
      <w:ind w:left="200" w:leftChars="200" w:hanging="200" w:hangingChars="200"/>
    </w:pPr>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pBdr>
        <w:top w:val="none" w:color="auto" w:sz="0" w:space="0"/>
        <w:left w:val="none" w:color="auto" w:sz="0" w:space="0"/>
        <w:bottom w:val="none" w:color="auto" w:sz="0" w:space="0"/>
        <w:right w:val="none" w:color="auto" w:sz="0" w:space="0"/>
      </w:pBdr>
      <w:adjustRightInd/>
      <w:spacing w:before="100" w:beforeAutospacing="1" w:after="100" w:afterAutospacing="1"/>
      <w:ind w:firstLine="0"/>
    </w:pPr>
    <w:rPr>
      <w:rFonts w:ascii="宋体" w:hAnsi="宋体" w:eastAsia="宋体"/>
      <w:kern w:val="0"/>
      <w:sz w:val="24"/>
    </w:rPr>
  </w:style>
  <w:style w:type="table" w:styleId="18">
    <w:name w:val="Table Grid"/>
    <w:basedOn w:val="17"/>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0">
    <w:name w:val="Strong"/>
    <w:qFormat/>
    <w:uiPriority w:val="22"/>
    <w:rPr>
      <w:rFonts w:ascii="Calibri" w:hAnsi="Calibri" w:eastAsia="宋体" w:cs="Times New Roman"/>
      <w:b/>
      <w:bCs/>
    </w:rPr>
  </w:style>
  <w:style w:type="character" w:styleId="21">
    <w:name w:val="Hyperlink"/>
    <w:qFormat/>
    <w:uiPriority w:val="99"/>
    <w:rPr>
      <w:rFonts w:ascii="Calibri" w:hAnsi="Calibri" w:eastAsia="宋体" w:cs="Times New Roman"/>
      <w:color w:val="0563C1"/>
      <w:u w:val="single"/>
    </w:rPr>
  </w:style>
  <w:style w:type="character" w:customStyle="1" w:styleId="22">
    <w:name w:val="页眉 Char"/>
    <w:link w:val="12"/>
    <w:qFormat/>
    <w:uiPriority w:val="0"/>
    <w:rPr>
      <w:rFonts w:ascii="Times New Roman" w:hAnsi="Times New Roman" w:eastAsia="仿宋" w:cs="宋体"/>
      <w:kern w:val="2"/>
      <w:sz w:val="18"/>
      <w:szCs w:val="18"/>
    </w:rPr>
  </w:style>
  <w:style w:type="character" w:customStyle="1" w:styleId="23">
    <w:name w:val="页脚 Char"/>
    <w:link w:val="11"/>
    <w:qFormat/>
    <w:uiPriority w:val="0"/>
    <w:rPr>
      <w:rFonts w:ascii="Times New Roman" w:hAnsi="Times New Roman" w:eastAsia="仿宋" w:cs="宋体"/>
      <w:kern w:val="2"/>
      <w:sz w:val="18"/>
      <w:szCs w:val="18"/>
    </w:rPr>
  </w:style>
  <w:style w:type="character" w:customStyle="1" w:styleId="24">
    <w:name w:val="访问过的超链接1"/>
    <w:qFormat/>
    <w:uiPriority w:val="0"/>
    <w:rPr>
      <w:rFonts w:ascii="Calibri" w:hAnsi="Calibri" w:eastAsia="宋体" w:cs="Times New Roman"/>
      <w:color w:val="383838"/>
      <w:u w:val="none"/>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批注框文本 Char"/>
    <w:link w:val="10"/>
    <w:qFormat/>
    <w:uiPriority w:val="0"/>
    <w:rPr>
      <w:rFonts w:ascii="Calibri" w:hAnsi="Calibri" w:eastAsia="仿宋" w:cs="宋体"/>
      <w:kern w:val="2"/>
      <w:sz w:val="18"/>
      <w:szCs w:val="18"/>
    </w:rPr>
  </w:style>
  <w:style w:type="character" w:customStyle="1" w:styleId="27">
    <w:name w:val="layui-this"/>
    <w:qFormat/>
    <w:uiPriority w:val="0"/>
    <w:rPr>
      <w:rFonts w:ascii="Calibri" w:hAnsi="Calibri" w:eastAsia="宋体" w:cs="Times New Roman"/>
      <w:bdr w:val="single" w:color="EEEEEE" w:sz="4" w:space="0"/>
      <w:shd w:val="clear" w:color="auto" w:fill="FFFFFF"/>
    </w:rPr>
  </w:style>
  <w:style w:type="character" w:customStyle="1" w:styleId="28">
    <w:name w:val="first-child"/>
    <w:basedOn w:val="19"/>
    <w:qFormat/>
    <w:uiPriority w:val="0"/>
  </w:style>
  <w:style w:type="paragraph" w:customStyle="1" w:styleId="29">
    <w:name w:val="正文文本首行缩进 2"/>
    <w:basedOn w:val="1"/>
    <w:next w:val="1"/>
    <w:qFormat/>
    <w:uiPriority w:val="0"/>
    <w:pPr>
      <w:ind w:firstLine="420" w:firstLineChars="200"/>
    </w:pPr>
  </w:style>
  <w:style w:type="paragraph" w:customStyle="1" w:styleId="30">
    <w:name w:val="目录 11"/>
    <w:basedOn w:val="1"/>
    <w:next w:val="1"/>
    <w:qFormat/>
    <w:uiPriority w:val="39"/>
  </w:style>
  <w:style w:type="paragraph" w:customStyle="1" w:styleId="31">
    <w:name w:val="目录 21"/>
    <w:basedOn w:val="1"/>
    <w:next w:val="1"/>
    <w:qFormat/>
    <w:uiPriority w:val="39"/>
    <w:pPr>
      <w:ind w:left="420" w:leftChars="200"/>
    </w:pPr>
  </w:style>
  <w:style w:type="paragraph" w:customStyle="1" w:styleId="32">
    <w:name w:val="正文文本首行缩进"/>
    <w:basedOn w:val="8"/>
    <w:unhideWhenUsed/>
    <w:qFormat/>
    <w:uiPriority w:val="99"/>
    <w:pPr>
      <w:ind w:firstLine="420" w:firstLineChars="100"/>
    </w:pPr>
  </w:style>
  <w:style w:type="paragraph" w:customStyle="1" w:styleId="33">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4">
    <w:name w:val="WPSOffice手动目录 3"/>
    <w:qFormat/>
    <w:uiPriority w:val="0"/>
    <w:pPr>
      <w:ind w:left="400" w:leftChars="400"/>
    </w:pPr>
    <w:rPr>
      <w:rFonts w:ascii="Calibri" w:hAnsi="Calibri" w:eastAsia="宋体" w:cs="Times New Roman"/>
      <w:lang w:val="en-US" w:eastAsia="zh-CN" w:bidi="ar-SA"/>
    </w:r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楷体GB3号"/>
    <w:basedOn w:val="1"/>
    <w:qFormat/>
    <w:uiPriority w:val="0"/>
    <w:pPr>
      <w:spacing w:before="240" w:after="240"/>
      <w:ind w:left="100" w:leftChars="100"/>
      <w:jc w:val="center"/>
    </w:pPr>
    <w:rPr>
      <w:rFonts w:eastAsia="楷体_GB2312"/>
      <w:sz w:val="32"/>
    </w:rPr>
  </w:style>
  <w:style w:type="paragraph" w:customStyle="1" w:styleId="37">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customStyle="1" w:styleId="38">
    <w:name w:val="WPSOffice手动目录 2"/>
    <w:qFormat/>
    <w:uiPriority w:val="0"/>
    <w:pPr>
      <w:ind w:left="200" w:leftChars="200"/>
    </w:pPr>
    <w:rPr>
      <w:rFonts w:ascii="Calibri" w:hAnsi="Calibri" w:eastAsia="宋体" w:cs="Times New Roman"/>
      <w:lang w:val="en-US" w:eastAsia="zh-CN" w:bidi="ar-SA"/>
    </w:rPr>
  </w:style>
  <w:style w:type="paragraph" w:customStyle="1" w:styleId="39">
    <w:name w:val="彩色底纹 - 着色 1"/>
    <w:hidden/>
    <w:unhideWhenUsed/>
    <w:qFormat/>
    <w:uiPriority w:val="99"/>
    <w:rPr>
      <w:rFonts w:ascii="Calibri" w:hAnsi="Calibri" w:eastAsia="仿宋" w:cs="宋体"/>
      <w:kern w:val="2"/>
      <w:sz w:val="28"/>
      <w:szCs w:val="24"/>
      <w:lang w:val="en-US" w:eastAsia="zh-CN" w:bidi="ar-SA"/>
    </w:rPr>
  </w:style>
  <w:style w:type="paragraph" w:customStyle="1" w:styleId="40">
    <w:name w:val="列出段落1"/>
    <w:basedOn w:val="1"/>
    <w:unhideWhenUsed/>
    <w:qFormat/>
    <w:uiPriority w:val="99"/>
    <w:pPr>
      <w:ind w:firstLine="420" w:firstLineChars="200"/>
    </w:pPr>
  </w:style>
  <w:style w:type="character" w:customStyle="1" w:styleId="41">
    <w:name w:val="font112"/>
    <w:basedOn w:val="19"/>
    <w:qFormat/>
    <w:uiPriority w:val="0"/>
    <w:rPr>
      <w:rFonts w:hint="eastAsia" w:ascii="方正小标宋简体" w:hAnsi="方正小标宋简体" w:eastAsia="方正小标宋简体" w:cs="方正小标宋简体"/>
      <w:b/>
      <w:color w:val="000000"/>
      <w:sz w:val="40"/>
      <w:szCs w:val="40"/>
      <w:u w:val="none"/>
    </w:rPr>
  </w:style>
  <w:style w:type="character" w:customStyle="1" w:styleId="42">
    <w:name w:val="font31"/>
    <w:basedOn w:val="19"/>
    <w:qFormat/>
    <w:uiPriority w:val="0"/>
    <w:rPr>
      <w:rFonts w:hint="eastAsia" w:ascii="黑体" w:hAnsi="宋体" w:eastAsia="黑体" w:cs="黑体"/>
      <w:color w:val="000000"/>
      <w:sz w:val="24"/>
      <w:szCs w:val="24"/>
      <w:u w:val="none"/>
    </w:rPr>
  </w:style>
  <w:style w:type="character" w:customStyle="1" w:styleId="43">
    <w:name w:val="font41"/>
    <w:basedOn w:val="19"/>
    <w:qFormat/>
    <w:uiPriority w:val="0"/>
    <w:rPr>
      <w:rFonts w:hint="default" w:ascii="Times New Roman" w:hAnsi="Times New Roman" w:cs="Times New Roman"/>
      <w:color w:val="000000"/>
      <w:sz w:val="24"/>
      <w:szCs w:val="24"/>
      <w:u w:val="none"/>
    </w:rPr>
  </w:style>
  <w:style w:type="character" w:customStyle="1" w:styleId="44">
    <w:name w:val="font81"/>
    <w:basedOn w:val="19"/>
    <w:qFormat/>
    <w:uiPriority w:val="0"/>
    <w:rPr>
      <w:rFonts w:hint="eastAsia" w:ascii="黑体" w:hAnsi="宋体" w:eastAsia="黑体" w:cs="黑体"/>
      <w:color w:val="000000"/>
      <w:sz w:val="22"/>
      <w:szCs w:val="22"/>
      <w:u w:val="none"/>
    </w:rPr>
  </w:style>
  <w:style w:type="character" w:customStyle="1" w:styleId="45">
    <w:name w:val="font51"/>
    <w:basedOn w:val="19"/>
    <w:qFormat/>
    <w:uiPriority w:val="0"/>
    <w:rPr>
      <w:rFonts w:hint="eastAsia" w:ascii="仿宋_GB2312" w:eastAsia="仿宋_GB2312" w:cs="仿宋_GB2312"/>
      <w:color w:val="000000"/>
      <w:sz w:val="24"/>
      <w:szCs w:val="24"/>
      <w:u w:val="none"/>
    </w:rPr>
  </w:style>
  <w:style w:type="character" w:customStyle="1" w:styleId="46">
    <w:name w:val="font01"/>
    <w:basedOn w:val="19"/>
    <w:qFormat/>
    <w:uiPriority w:val="0"/>
    <w:rPr>
      <w:rFonts w:hint="eastAsia" w:ascii="仿宋_GB2312" w:eastAsia="仿宋_GB2312" w:cs="仿宋_GB2312"/>
      <w:b/>
      <w:color w:val="000000"/>
      <w:sz w:val="22"/>
      <w:szCs w:val="22"/>
      <w:u w:val="none"/>
    </w:rPr>
  </w:style>
  <w:style w:type="character" w:customStyle="1" w:styleId="47">
    <w:name w:val="font91"/>
    <w:basedOn w:val="19"/>
    <w:qFormat/>
    <w:uiPriority w:val="0"/>
    <w:rPr>
      <w:rFonts w:hint="default" w:ascii="Times New Roman" w:hAnsi="Times New Roman" w:cs="Times New Roman"/>
      <w:b/>
      <w:color w:val="000000"/>
      <w:sz w:val="22"/>
      <w:szCs w:val="22"/>
      <w:u w:val="none"/>
    </w:rPr>
  </w:style>
  <w:style w:type="character" w:customStyle="1" w:styleId="48">
    <w:name w:val="font21"/>
    <w:basedOn w:val="19"/>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0308A-88A8-417C-B659-41049BC7C1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37813</Words>
  <Characters>5342</Characters>
  <Lines>44</Lines>
  <Paragraphs>86</Paragraphs>
  <TotalTime>1516</TotalTime>
  <ScaleCrop>false</ScaleCrop>
  <LinksUpToDate>false</LinksUpToDate>
  <CharactersWithSpaces>43069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2021-01-13T08:40:00Z</dcterms:created>
  <dc:creator>Administrator</dc:creator>
  <cp:lastModifiedBy>Administrator</cp:lastModifiedBy>
  <cp:lastPrinted>2021-05-14T03:49:00Z</cp:lastPrinted>
  <dcterms:modified xsi:type="dcterms:W3CDTF">2021-07-12T01:46:36Z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SaveFontToCloudKey">
    <vt:lpwstr>407976503_btnclosed</vt:lpwstr>
  </property>
  <property fmtid="{D5CDD505-2E9C-101B-9397-08002B2CF9AE}" pid="4" name="ICV">
    <vt:lpwstr>501F0D81346E4AAFBF898809B8F67C5C</vt:lpwstr>
  </property>
</Properties>
</file>