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Cs w:val="32"/>
        </w:rPr>
      </w:pPr>
      <w:r>
        <w:rPr>
          <w:rFonts w:hint="eastAsia" w:ascii="黑体" w:hAnsi="黑体" w:eastAsia="黑体"/>
          <w:szCs w:val="32"/>
        </w:rPr>
        <w:t xml:space="preserve"> </w:t>
      </w:r>
    </w:p>
    <w:p>
      <w:pPr>
        <w:rPr>
          <w:rFonts w:hint="eastAsia" w:ascii="黑体" w:hAnsi="黑体" w:eastAsia="黑体"/>
          <w:szCs w:val="32"/>
        </w:rPr>
      </w:pPr>
    </w:p>
    <w:p>
      <w:pPr>
        <w:spacing w:line="240" w:lineRule="exact"/>
        <w:rPr>
          <w:rFonts w:asciiTheme="minorEastAsia" w:hAnsiTheme="minorEastAsia" w:eastAsiaTheme="minorEastAsia"/>
          <w:szCs w:val="32"/>
        </w:rPr>
      </w:pPr>
    </w:p>
    <w:p>
      <w:pPr>
        <w:rPr>
          <w:rFonts w:ascii="黑体" w:hAnsi="黑体" w:eastAsia="黑体"/>
          <w:szCs w:val="32"/>
        </w:rPr>
      </w:pPr>
    </w:p>
    <w:p>
      <w:pPr>
        <w:spacing w:line="840" w:lineRule="exact"/>
        <w:rPr>
          <w:szCs w:val="32"/>
        </w:rPr>
      </w:pPr>
      <w:r>
        <w:rPr>
          <w:szCs w:val="32"/>
        </w:rPr>
        <w:pict>
          <v:shape id="WJBT" o:spid="_x0000_s1036" o:spt="202" type="#_x0000_t202" style="position:absolute;left:0pt;margin-top:202.65pt;height:104.85pt;width:413.85pt;mso-position-horizontal:center;mso-position-vertical-relative:page;z-index:-251656192;mso-width-relative:page;mso-height-relative:page;" filled="f" stroked="f" coordsize="21600,21600">
            <v:path/>
            <v:fill on="f" focussize="0,0"/>
            <v:stroke on="f" joinstyle="miter"/>
            <v:imagedata o:title=""/>
            <o:lock v:ext="edit"/>
            <v:textbox inset="0mm,0mm,0mm,0mm">
              <w:txbxContent>
                <w:p>
                  <w:pPr>
                    <w:spacing w:line="1240" w:lineRule="exact"/>
                    <w:jc w:val="distribute"/>
                    <w:rPr>
                      <w:rFonts w:ascii="方正小标宋简体" w:eastAsia="方正小标宋简体"/>
                      <w:color w:val="FF0000"/>
                      <w:w w:val="55"/>
                      <w:sz w:val="114"/>
                      <w:szCs w:val="114"/>
                    </w:rPr>
                  </w:pPr>
                  <w:r>
                    <w:rPr>
                      <w:rFonts w:hint="eastAsia" w:ascii="方正小标宋简体" w:hAnsi="Times New Roman" w:eastAsia="方正小标宋简体"/>
                      <w:color w:val="FF0000"/>
                      <w:w w:val="55"/>
                      <w:sz w:val="114"/>
                      <w:szCs w:val="114"/>
                    </w:rPr>
                    <w:t>江门市新会区农业农村局文件</w:t>
                  </w:r>
                </w:p>
              </w:txbxContent>
            </v:textbox>
          </v:shape>
        </w:pict>
      </w:r>
    </w:p>
    <w:p>
      <w:pPr>
        <w:tabs>
          <w:tab w:val="left" w:pos="2212"/>
        </w:tabs>
        <w:rPr>
          <w:szCs w:val="32"/>
        </w:rPr>
      </w:pPr>
    </w:p>
    <w:p>
      <w:pPr>
        <w:spacing w:line="360" w:lineRule="exact"/>
        <w:ind w:right="320" w:rightChars="100"/>
        <w:rPr>
          <w:szCs w:val="32"/>
        </w:rPr>
      </w:pPr>
    </w:p>
    <w:p>
      <w:pPr>
        <w:ind w:right="320" w:rightChars="100"/>
        <w:rPr>
          <w:szCs w:val="32"/>
        </w:rPr>
      </w:pPr>
    </w:p>
    <w:p>
      <w:pPr>
        <w:jc w:val="center"/>
        <w:rPr>
          <w:rFonts w:hint="eastAsia" w:ascii="仿宋_GB2312" w:eastAsia="仿宋_GB2312"/>
          <w:sz w:val="32"/>
          <w:szCs w:val="32"/>
        </w:rPr>
      </w:pPr>
      <w:r>
        <w:rPr>
          <w:rFonts w:hint="eastAsia" w:ascii="仿宋" w:hAnsi="仿宋"/>
          <w:szCs w:val="32"/>
        </w:rPr>
        <w:t>新农农〔</w:t>
      </w:r>
      <w:r>
        <w:rPr>
          <w:rFonts w:ascii="仿宋" w:hAnsi="仿宋"/>
          <w:szCs w:val="32"/>
        </w:rPr>
        <w:t>20</w:t>
      </w:r>
      <w:r>
        <w:rPr>
          <w:rFonts w:hint="eastAsia" w:ascii="仿宋" w:hAnsi="仿宋"/>
          <w:szCs w:val="32"/>
        </w:rPr>
        <w:t>21</w:t>
      </w:r>
      <w:r>
        <w:rPr>
          <w:rFonts w:ascii="仿宋" w:hAnsi="仿宋"/>
          <w:szCs w:val="32"/>
        </w:rPr>
        <w:t>〕</w:t>
      </w:r>
      <w:r>
        <w:rPr>
          <w:rFonts w:hint="eastAsia" w:ascii="仿宋" w:hAnsi="仿宋"/>
          <w:szCs w:val="32"/>
          <w:lang w:val="en-US" w:eastAsia="zh-CN"/>
        </w:rPr>
        <w:t>83</w:t>
      </w:r>
      <w:r>
        <w:rPr>
          <w:rFonts w:ascii="仿宋" w:hAnsi="仿宋"/>
          <w:szCs w:val="32"/>
        </w:rPr>
        <w:t>号</w:t>
      </w:r>
      <w:r>
        <w:rPr>
          <w:rFonts w:hint="eastAsia" w:ascii="方正小标宋简体" w:hAnsi="方正小标宋简体" w:eastAsia="方正小标宋简体" w:cs="方正小标宋简体"/>
          <w:sz w:val="44"/>
          <w:szCs w:val="44"/>
        </w:rPr>
        <w:pict>
          <v:shape id="GWXH" o:spid="_x0000_s1035" o:spt="202" type="#_x0000_t202" style="position:absolute;left:0pt;margin-left:-0.05pt;margin-top:104.9pt;height:22.7pt;width:63pt;mso-position-vertical-relative:page;z-index:251659264;mso-width-relative:page;mso-height-relative:page;" filled="f" stroked="f" coordsize="21600,21600">
            <v:path/>
            <v:fill on="f" focussize="0,0"/>
            <v:stroke on="f" joinstyle="miter"/>
            <v:imagedata o:title=""/>
            <o:lock v:ext="edit"/>
            <v:textbox inset="0mm,0mm,0mm,0mm">
              <w:txbxContent>
                <w:p>
                  <w:pPr>
                    <w:rPr>
                      <w:rFonts w:ascii="黑体" w:hAnsi="黑体" w:eastAsia="黑体"/>
                      <w:szCs w:val="32"/>
                    </w:rPr>
                  </w:pPr>
                </w:p>
              </w:txbxContent>
            </v:textbox>
            <w10:anchorlock/>
          </v:shape>
        </w:pict>
      </w:r>
      <w:r>
        <w:rPr>
          <w:rFonts w:hint="eastAsia" w:ascii="方正小标宋简体" w:hAnsi="方正小标宋简体" w:eastAsia="方正小标宋简体" w:cs="方正小标宋简体"/>
          <w:sz w:val="44"/>
          <w:szCs w:val="44"/>
        </w:rPr>
        <w:pict>
          <v:line id="BTBX" o:spid="_x0000_s1034" o:spt="20" style="position:absolute;left:0pt;margin-left:-0.05pt;margin-top:342.45pt;height:0pt;width:442.2pt;mso-position-vertical-relative:page;z-index:251659264;mso-width-relative:page;mso-height-relative:page;" stroked="t" coordsize="21600,21600">
            <v:path arrowok="t"/>
            <v:fill focussize="0,0"/>
            <v:stroke weight="1.25pt" color="#FF0000"/>
            <v:imagedata o:title=""/>
            <o:lock v:ext="edit"/>
            <w10:anchorlock/>
          </v:line>
        </w:pic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关于印发《2021年新会区冬种作物高产示范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项目实施方案》的通知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各镇（街）农业农村办公室：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为切实做好2021年我区冬种作</w:t>
      </w:r>
      <w:bookmarkStart w:id="0" w:name="_GoBack"/>
      <w:bookmarkEnd w:id="0"/>
      <w:r>
        <w:rPr>
          <w:rFonts w:hint="eastAsia" w:ascii="仿宋" w:hAnsi="仿宋" w:eastAsia="仿宋" w:cs="仿宋"/>
          <w:sz w:val="32"/>
          <w:szCs w:val="32"/>
        </w:rPr>
        <w:t>物高产示范项目工作，</w:t>
      </w:r>
      <w:r>
        <w:rPr>
          <w:rFonts w:hint="eastAsia" w:ascii="仿宋" w:hAnsi="仿宋" w:eastAsia="仿宋" w:cs="仿宋"/>
          <w:sz w:val="32"/>
          <w:szCs w:val="32"/>
          <w:lang w:val="en-US" w:eastAsia="zh-CN"/>
        </w:rPr>
        <w:t>我局制定了</w:t>
      </w:r>
      <w:r>
        <w:rPr>
          <w:rFonts w:hint="eastAsia" w:ascii="仿宋" w:hAnsi="仿宋" w:eastAsia="仿宋" w:cs="仿宋"/>
          <w:sz w:val="32"/>
          <w:szCs w:val="32"/>
        </w:rPr>
        <w:t>《2021年新会区冬种作物高产示范项目实施方案》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现</w:t>
      </w:r>
      <w:r>
        <w:rPr>
          <w:rFonts w:hint="eastAsia" w:ascii="仿宋" w:hAnsi="仿宋" w:eastAsia="仿宋" w:cs="仿宋"/>
          <w:sz w:val="32"/>
          <w:szCs w:val="32"/>
        </w:rPr>
        <w:t>印发给你们，请贯彻执行。同时，请有意向开展项目服务的供应商于7月13日前向我局咨询</w:t>
      </w:r>
      <w:r>
        <w:rPr>
          <w:rFonts w:hint="eastAsia" w:ascii="仿宋" w:hAnsi="仿宋" w:eastAsia="仿宋" w:cs="仿宋"/>
          <w:sz w:val="32"/>
          <w:szCs w:val="32"/>
          <w:lang w:val="en-US" w:eastAsia="zh-CN"/>
        </w:rPr>
        <w:t>相关事项</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江门市新会区农业农村局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2021年7月6日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(联系人：梁湘怡，联系电话：6662996）</w:t>
      </w:r>
    </w:p>
    <w:p>
      <w:pPr>
        <w:pStyle w:val="3"/>
        <w:keepNext w:val="0"/>
        <w:keepLines w:val="0"/>
        <w:pageBreakBefore w:val="0"/>
        <w:kinsoku/>
        <w:wordWrap/>
        <w:overflowPunct/>
        <w:topLinePunct w:val="0"/>
        <w:autoSpaceDE/>
        <w:autoSpaceDN/>
        <w:bidi w:val="0"/>
        <w:spacing w:line="560" w:lineRule="exact"/>
        <w:ind w:left="0" w:left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2021年冬种作物高产示范项目实施方案</w:t>
      </w:r>
    </w:p>
    <w:p>
      <w:pPr>
        <w:keepNext w:val="0"/>
        <w:keepLines w:val="0"/>
        <w:pageBreakBefore w:val="0"/>
        <w:kinsoku/>
        <w:wordWrap/>
        <w:overflowPunct/>
        <w:topLinePunct w:val="0"/>
        <w:autoSpaceDE/>
        <w:autoSpaceDN/>
        <w:bidi w:val="0"/>
        <w:spacing w:line="560" w:lineRule="exact"/>
        <w:ind w:left="0" w:leftChars="0"/>
        <w:jc w:val="both"/>
        <w:textAlignment w:val="auto"/>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color w:val="000000" w:themeColor="text1"/>
          <w:kern w:val="0"/>
          <w:sz w:val="32"/>
          <w:szCs w:val="32"/>
        </w:rPr>
      </w:pPr>
      <w:r>
        <w:rPr>
          <w:rFonts w:hint="eastAsia" w:ascii="仿宋" w:hAnsi="仿宋" w:eastAsia="仿宋" w:cs="仿宋"/>
          <w:sz w:val="32"/>
          <w:szCs w:val="32"/>
        </w:rPr>
        <w:t>根据《关于新会区种植业2021年春节期间和春耕生产工作意</w:t>
      </w:r>
      <w:r>
        <w:rPr>
          <w:rFonts w:hint="eastAsia" w:ascii="仿宋" w:hAnsi="仿宋" w:eastAsia="仿宋" w:cs="仿宋"/>
          <w:color w:val="000000" w:themeColor="text1"/>
          <w:sz w:val="32"/>
          <w:szCs w:val="32"/>
        </w:rPr>
        <w:t>见的通知》（新农农</w:t>
      </w:r>
      <w:r>
        <w:rPr>
          <w:rFonts w:hint="eastAsia" w:ascii="仿宋" w:hAnsi="仿宋" w:eastAsia="仿宋" w:cs="仿宋"/>
          <w:color w:val="000000" w:themeColor="text1"/>
          <w:sz w:val="32"/>
          <w:szCs w:val="32"/>
          <w:lang w:val="zh-CN"/>
        </w:rPr>
        <w:t>〔20</w:t>
      </w:r>
      <w:r>
        <w:rPr>
          <w:rFonts w:hint="eastAsia" w:ascii="仿宋" w:hAnsi="仿宋" w:eastAsia="仿宋" w:cs="仿宋"/>
          <w:color w:val="000000" w:themeColor="text1"/>
          <w:sz w:val="32"/>
          <w:szCs w:val="32"/>
        </w:rPr>
        <w:t>21</w:t>
      </w:r>
      <w:r>
        <w:rPr>
          <w:rFonts w:hint="eastAsia" w:ascii="仿宋" w:hAnsi="仿宋" w:eastAsia="仿宋" w:cs="仿宋"/>
          <w:color w:val="000000" w:themeColor="text1"/>
          <w:sz w:val="32"/>
          <w:szCs w:val="32"/>
          <w:lang w:val="zh-CN"/>
        </w:rPr>
        <w:t>〕</w:t>
      </w:r>
      <w:r>
        <w:rPr>
          <w:rFonts w:hint="eastAsia" w:ascii="仿宋" w:hAnsi="仿宋" w:eastAsia="仿宋" w:cs="仿宋"/>
          <w:color w:val="000000" w:themeColor="text1"/>
          <w:sz w:val="32"/>
          <w:szCs w:val="32"/>
        </w:rPr>
        <w:t>10号）、《关于下达2021年财政收支预算指标的通知》（新财预</w:t>
      </w:r>
      <w:r>
        <w:rPr>
          <w:rFonts w:hint="eastAsia" w:ascii="仿宋" w:hAnsi="仿宋" w:eastAsia="仿宋" w:cs="仿宋"/>
          <w:color w:val="000000" w:themeColor="text1"/>
          <w:sz w:val="32"/>
          <w:szCs w:val="32"/>
          <w:lang w:val="zh-CN"/>
        </w:rPr>
        <w:t>〔</w:t>
      </w:r>
      <w:r>
        <w:rPr>
          <w:rFonts w:hint="eastAsia" w:ascii="仿宋" w:hAnsi="仿宋" w:eastAsia="仿宋" w:cs="仿宋"/>
          <w:color w:val="000000" w:themeColor="text1"/>
          <w:sz w:val="32"/>
          <w:szCs w:val="32"/>
        </w:rPr>
        <w:t>2021</w:t>
      </w:r>
      <w:r>
        <w:rPr>
          <w:rFonts w:hint="eastAsia" w:ascii="仿宋" w:hAnsi="仿宋" w:eastAsia="仿宋" w:cs="仿宋"/>
          <w:color w:val="000000" w:themeColor="text1"/>
          <w:sz w:val="32"/>
          <w:szCs w:val="32"/>
          <w:lang w:val="zh-CN"/>
        </w:rPr>
        <w:t>〕</w:t>
      </w:r>
      <w:r>
        <w:rPr>
          <w:rFonts w:hint="eastAsia" w:ascii="仿宋" w:hAnsi="仿宋" w:eastAsia="仿宋" w:cs="仿宋"/>
          <w:color w:val="000000" w:themeColor="text1"/>
          <w:sz w:val="32"/>
          <w:szCs w:val="32"/>
        </w:rPr>
        <w:t>6号）、《关于下达2021年市级涉农统筹整合转移支付资金（第二批）的通知》（江财农〔2021〕38号）等文件要求，借鉴我区近年早布置、早计划和早落实冬种的好做法和好经验，</w:t>
      </w:r>
      <w:r>
        <w:rPr>
          <w:rFonts w:hint="eastAsia" w:ascii="仿宋" w:hAnsi="仿宋" w:eastAsia="仿宋" w:cs="仿宋"/>
          <w:color w:val="000000" w:themeColor="text1"/>
          <w:kern w:val="0"/>
          <w:sz w:val="32"/>
          <w:szCs w:val="32"/>
        </w:rPr>
        <w:t>结合实际，为做好我区 2021 年度冬种高产示范工作，</w:t>
      </w:r>
      <w:r>
        <w:rPr>
          <w:rFonts w:hint="eastAsia" w:ascii="仿宋" w:hAnsi="仿宋" w:eastAsia="仿宋" w:cs="仿宋"/>
          <w:color w:val="000000" w:themeColor="text1"/>
          <w:sz w:val="32"/>
          <w:szCs w:val="32"/>
        </w:rPr>
        <w:t>综合镇（街）和有关部门意见，</w:t>
      </w:r>
      <w:r>
        <w:rPr>
          <w:rFonts w:hint="eastAsia" w:ascii="仿宋" w:hAnsi="仿宋" w:eastAsia="仿宋" w:cs="仿宋"/>
          <w:color w:val="000000" w:themeColor="text1"/>
          <w:kern w:val="0"/>
          <w:sz w:val="32"/>
          <w:szCs w:val="32"/>
        </w:rPr>
        <w:t>特制定本方案。</w:t>
      </w:r>
    </w:p>
    <w:p>
      <w:pPr>
        <w:keepNext w:val="0"/>
        <w:keepLines w:val="0"/>
        <w:pageBreakBefore w:val="0"/>
        <w:numPr>
          <w:ilvl w:val="0"/>
          <w:numId w:val="1"/>
        </w:numPr>
        <w:kinsoku/>
        <w:wordWrap/>
        <w:overflowPunct/>
        <w:topLinePunct w:val="0"/>
        <w:autoSpaceDE/>
        <w:autoSpaceDN/>
        <w:bidi w:val="0"/>
        <w:spacing w:line="560" w:lineRule="exact"/>
        <w:ind w:left="0" w:leftChars="0" w:firstLine="640"/>
        <w:jc w:val="both"/>
        <w:textAlignment w:val="auto"/>
        <w:rPr>
          <w:rFonts w:hint="eastAsia" w:ascii="黑体" w:hAnsi="黑体" w:eastAsia="黑体" w:cs="黑体"/>
          <w:b w:val="0"/>
          <w:bCs/>
          <w:color w:val="000000" w:themeColor="text1"/>
          <w:kern w:val="0"/>
          <w:sz w:val="32"/>
          <w:szCs w:val="32"/>
        </w:rPr>
      </w:pPr>
      <w:r>
        <w:rPr>
          <w:rFonts w:hint="eastAsia" w:ascii="黑体" w:hAnsi="黑体" w:eastAsia="黑体" w:cs="黑体"/>
          <w:b w:val="0"/>
          <w:bCs/>
          <w:color w:val="000000" w:themeColor="text1"/>
          <w:kern w:val="0"/>
          <w:sz w:val="32"/>
          <w:szCs w:val="32"/>
        </w:rPr>
        <w:t>指导思想</w:t>
      </w:r>
    </w:p>
    <w:p>
      <w:pPr>
        <w:keepNext w:val="0"/>
        <w:keepLines w:val="0"/>
        <w:pageBreakBefore w:val="0"/>
        <w:numPr>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认真贯彻落实各级有关政策和文件精神，以稳产保供、优化结构、提升能力、高质量发展和增加收入为目标，坚持抓重点、补短板、强弱项，立足技术、优质与效益兴农优先的发展思路，示范带动冬种生产，优化冬种生产结构，实现冬种生产效益，为夺取农业丰收打好坚实基础。</w:t>
      </w:r>
    </w:p>
    <w:p>
      <w:pPr>
        <w:keepNext w:val="0"/>
        <w:keepLines w:val="0"/>
        <w:pageBreakBefore w:val="0"/>
        <w:numPr>
          <w:numId w:val="0"/>
        </w:numPr>
        <w:kinsoku/>
        <w:wordWrap/>
        <w:overflowPunct/>
        <w:topLinePunct w:val="0"/>
        <w:autoSpaceDE/>
        <w:autoSpaceDN/>
        <w:bidi w:val="0"/>
        <w:spacing w:line="560" w:lineRule="exact"/>
        <w:ind w:left="640" w:leftChars="0"/>
        <w:jc w:val="both"/>
        <w:textAlignment w:val="auto"/>
        <w:rPr>
          <w:rFonts w:hint="eastAsia" w:ascii="黑体" w:hAnsi="黑体" w:eastAsia="黑体" w:cs="黑体"/>
          <w:b w:val="0"/>
          <w:bCs/>
          <w:color w:val="000000" w:themeColor="text1"/>
          <w:kern w:val="0"/>
          <w:sz w:val="32"/>
          <w:szCs w:val="32"/>
        </w:rPr>
      </w:pPr>
      <w:r>
        <w:rPr>
          <w:rFonts w:hint="eastAsia" w:ascii="黑体" w:hAnsi="黑体" w:eastAsia="黑体" w:cs="黑体"/>
          <w:b w:val="0"/>
          <w:bCs/>
          <w:color w:val="000000" w:themeColor="text1"/>
          <w:kern w:val="0"/>
          <w:sz w:val="32"/>
          <w:szCs w:val="32"/>
        </w:rPr>
        <w:t>二、实施内容和期限</w:t>
      </w:r>
    </w:p>
    <w:p>
      <w:pPr>
        <w:keepNext w:val="0"/>
        <w:keepLines w:val="0"/>
        <w:pageBreakBefore w:val="0"/>
        <w:kinsoku/>
        <w:wordWrap/>
        <w:overflowPunct/>
        <w:topLinePunct w:val="0"/>
        <w:autoSpaceDE/>
        <w:autoSpaceDN/>
        <w:bidi w:val="0"/>
        <w:spacing w:line="560" w:lineRule="exact"/>
        <w:ind w:left="0" w:leftChars="0" w:firstLine="640"/>
        <w:jc w:val="both"/>
        <w:textAlignment w:val="auto"/>
        <w:rPr>
          <w:rFonts w:hint="eastAsia" w:ascii="仿宋" w:hAnsi="仿宋" w:eastAsia="仿宋" w:cs="仿宋"/>
          <w:color w:val="000000" w:themeColor="text1"/>
          <w:sz w:val="32"/>
          <w:szCs w:val="32"/>
        </w:rPr>
      </w:pPr>
      <w:r>
        <w:rPr>
          <w:rFonts w:hint="eastAsia" w:ascii="楷体" w:hAnsi="楷体" w:eastAsia="楷体" w:cs="楷体"/>
          <w:color w:val="000000" w:themeColor="text1"/>
          <w:kern w:val="0"/>
          <w:sz w:val="32"/>
          <w:szCs w:val="32"/>
        </w:rPr>
        <w:t>（一）实施内容。</w:t>
      </w:r>
      <w:r>
        <w:rPr>
          <w:rFonts w:hint="eastAsia" w:ascii="仿宋" w:hAnsi="仿宋" w:eastAsia="仿宋" w:cs="仿宋"/>
          <w:b/>
          <w:bCs/>
          <w:color w:val="000000" w:themeColor="text1"/>
          <w:sz w:val="32"/>
          <w:szCs w:val="32"/>
        </w:rPr>
        <w:t>重点扶持二项冬种示范内容：</w:t>
      </w:r>
      <w:r>
        <w:rPr>
          <w:rFonts w:hint="eastAsia" w:ascii="仿宋" w:hAnsi="仿宋" w:eastAsia="仿宋" w:cs="仿宋"/>
          <w:b w:val="0"/>
          <w:bCs w:val="0"/>
          <w:color w:val="000000" w:themeColor="text1"/>
          <w:sz w:val="32"/>
          <w:szCs w:val="32"/>
        </w:rPr>
        <w:t>全区</w:t>
      </w:r>
      <w:r>
        <w:rPr>
          <w:rFonts w:hint="eastAsia" w:ascii="仿宋" w:hAnsi="仿宋" w:eastAsia="仿宋" w:cs="仿宋"/>
          <w:color w:val="000000" w:themeColor="text1"/>
          <w:sz w:val="32"/>
          <w:szCs w:val="32"/>
        </w:rPr>
        <w:t>扶持3个镇（街）3个示范区域分别或同时开展二项冬种示范，</w:t>
      </w:r>
      <w:r>
        <w:rPr>
          <w:rFonts w:hint="eastAsia" w:ascii="仿宋" w:hAnsi="仿宋" w:eastAsia="仿宋" w:cs="仿宋"/>
          <w:b/>
          <w:bCs/>
          <w:color w:val="000000" w:themeColor="text1"/>
          <w:sz w:val="32"/>
          <w:szCs w:val="32"/>
        </w:rPr>
        <w:t>一是</w:t>
      </w:r>
      <w:r>
        <w:rPr>
          <w:rFonts w:hint="eastAsia" w:ascii="仿宋" w:hAnsi="仿宋" w:eastAsia="仿宋" w:cs="仿宋"/>
          <w:b w:val="0"/>
          <w:bCs w:val="0"/>
          <w:color w:val="000000" w:themeColor="text1"/>
          <w:sz w:val="32"/>
          <w:szCs w:val="32"/>
        </w:rPr>
        <w:t>开展</w:t>
      </w:r>
      <w:r>
        <w:rPr>
          <w:rFonts w:hint="eastAsia" w:ascii="仿宋" w:hAnsi="仿宋" w:eastAsia="仿宋" w:cs="仿宋"/>
          <w:color w:val="000000" w:themeColor="text1"/>
          <w:sz w:val="32"/>
          <w:szCs w:val="32"/>
        </w:rPr>
        <w:t>冬种彩色油菜花的沃土生态景观示范面积400亩；</w:t>
      </w:r>
      <w:r>
        <w:rPr>
          <w:rFonts w:hint="eastAsia" w:ascii="仿宋" w:hAnsi="仿宋" w:eastAsia="仿宋" w:cs="仿宋"/>
          <w:b/>
          <w:bCs/>
          <w:color w:val="000000" w:themeColor="text1"/>
          <w:sz w:val="32"/>
          <w:szCs w:val="32"/>
        </w:rPr>
        <w:t>二是</w:t>
      </w:r>
      <w:r>
        <w:rPr>
          <w:rFonts w:hint="eastAsia" w:ascii="仿宋" w:hAnsi="仿宋" w:eastAsia="仿宋" w:cs="仿宋"/>
          <w:color w:val="000000" w:themeColor="text1"/>
          <w:sz w:val="32"/>
          <w:szCs w:val="32"/>
        </w:rPr>
        <w:t>开展冬种小麦及秸秆还田的三造粮食种植新模式示范面积60亩。各示范区域的示范面积由区农业农村局分配。</w:t>
      </w:r>
    </w:p>
    <w:p>
      <w:pPr>
        <w:keepNext w:val="0"/>
        <w:keepLines w:val="0"/>
        <w:pageBreakBefore w:val="0"/>
        <w:widowControl/>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color w:val="000000" w:themeColor="text1"/>
          <w:kern w:val="0"/>
          <w:sz w:val="32"/>
          <w:szCs w:val="32"/>
        </w:rPr>
      </w:pPr>
      <w:r>
        <w:rPr>
          <w:rFonts w:hint="eastAsia" w:ascii="楷体" w:hAnsi="楷体" w:eastAsia="楷体" w:cs="楷体"/>
          <w:color w:val="000000" w:themeColor="text1"/>
          <w:kern w:val="0"/>
          <w:sz w:val="32"/>
          <w:szCs w:val="32"/>
        </w:rPr>
        <w:t>（二）实施期限。</w:t>
      </w:r>
      <w:r>
        <w:rPr>
          <w:rFonts w:hint="eastAsia" w:ascii="仿宋" w:hAnsi="仿宋" w:eastAsia="仿宋" w:cs="仿宋"/>
          <w:color w:val="000000" w:themeColor="text1"/>
          <w:kern w:val="0"/>
          <w:sz w:val="32"/>
          <w:szCs w:val="32"/>
        </w:rPr>
        <w:t>2021年晚造开始至冬种收获结束，为期9个月。（2021年7月至2022年3月，含前期准备）</w:t>
      </w:r>
    </w:p>
    <w:p>
      <w:pPr>
        <w:keepNext w:val="0"/>
        <w:keepLines w:val="0"/>
        <w:pageBreakBefore w:val="0"/>
        <w:numPr>
          <w:ilvl w:val="0"/>
          <w:numId w:val="0"/>
        </w:numPr>
        <w:kinsoku/>
        <w:wordWrap/>
        <w:overflowPunct/>
        <w:topLinePunct w:val="0"/>
        <w:autoSpaceDE/>
        <w:autoSpaceDN/>
        <w:bidi w:val="0"/>
        <w:spacing w:line="560" w:lineRule="exact"/>
        <w:ind w:left="640" w:leftChars="0"/>
        <w:jc w:val="both"/>
        <w:textAlignment w:val="auto"/>
        <w:rPr>
          <w:rFonts w:hint="eastAsia" w:ascii="黑体" w:hAnsi="黑体" w:eastAsia="黑体" w:cs="黑体"/>
          <w:b w:val="0"/>
          <w:bCs/>
          <w:color w:val="000000" w:themeColor="text1"/>
          <w:kern w:val="0"/>
          <w:sz w:val="32"/>
          <w:szCs w:val="32"/>
        </w:rPr>
      </w:pPr>
      <w:r>
        <w:rPr>
          <w:rFonts w:hint="eastAsia" w:ascii="黑体" w:hAnsi="黑体" w:eastAsia="黑体" w:cs="黑体"/>
          <w:b w:val="0"/>
          <w:bCs/>
          <w:color w:val="000000" w:themeColor="text1"/>
          <w:kern w:val="0"/>
          <w:sz w:val="32"/>
          <w:szCs w:val="32"/>
        </w:rPr>
        <w:t>三、项目选址和建设要求</w:t>
      </w:r>
    </w:p>
    <w:p>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color w:val="000000" w:themeColor="text1"/>
          <w:sz w:val="32"/>
          <w:szCs w:val="32"/>
        </w:rPr>
      </w:pPr>
      <w:r>
        <w:rPr>
          <w:rFonts w:hint="eastAsia" w:ascii="楷体" w:hAnsi="楷体" w:eastAsia="楷体" w:cs="楷体"/>
          <w:color w:val="000000" w:themeColor="text1"/>
          <w:kern w:val="0"/>
          <w:sz w:val="32"/>
          <w:szCs w:val="32"/>
        </w:rPr>
        <w:t>（一)项目选址要求：</w:t>
      </w:r>
      <w:r>
        <w:rPr>
          <w:rFonts w:hint="eastAsia" w:ascii="仿宋" w:hAnsi="仿宋" w:eastAsia="仿宋" w:cs="仿宋"/>
          <w:color w:val="000000" w:themeColor="text1"/>
          <w:sz w:val="32"/>
          <w:szCs w:val="32"/>
        </w:rPr>
        <w:t>交通便利、连片、冬季生产用水和排灌方便的冬闲稻田。冬种彩色油菜花可选择旱地开展。</w:t>
      </w:r>
    </w:p>
    <w:p>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eastAsia" w:ascii="楷体" w:hAnsi="楷体" w:eastAsia="楷体" w:cs="楷体"/>
          <w:color w:val="000000" w:themeColor="text1"/>
          <w:kern w:val="0"/>
          <w:sz w:val="32"/>
          <w:szCs w:val="32"/>
        </w:rPr>
      </w:pPr>
      <w:r>
        <w:rPr>
          <w:rFonts w:hint="eastAsia" w:ascii="楷体" w:hAnsi="楷体" w:eastAsia="楷体" w:cs="楷体"/>
          <w:color w:val="000000" w:themeColor="text1"/>
          <w:kern w:val="0"/>
          <w:sz w:val="32"/>
          <w:szCs w:val="32"/>
        </w:rPr>
        <w:t>（二）建设要求：</w:t>
      </w:r>
    </w:p>
    <w:p>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color w:val="000000" w:themeColor="text1"/>
          <w:sz w:val="32"/>
          <w:szCs w:val="32"/>
        </w:rPr>
      </w:pPr>
      <w:r>
        <w:rPr>
          <w:rFonts w:hint="eastAsia" w:ascii="仿宋" w:hAnsi="仿宋" w:eastAsia="仿宋" w:cs="仿宋"/>
          <w:bCs/>
          <w:color w:val="000000" w:themeColor="text1"/>
          <w:sz w:val="32"/>
          <w:szCs w:val="32"/>
        </w:rPr>
        <w:t>1、</w:t>
      </w:r>
      <w:r>
        <w:rPr>
          <w:rFonts w:hint="eastAsia" w:ascii="仿宋" w:hAnsi="仿宋" w:eastAsia="仿宋" w:cs="仿宋"/>
          <w:color w:val="000000" w:themeColor="text1"/>
          <w:sz w:val="32"/>
          <w:szCs w:val="32"/>
        </w:rPr>
        <w:t>示范镇（街）农办与示范户签订示范协议（详见附件3），配合中标供应商推进项目建设；中标供应商按合同要求和有关技术措施开展、完成项目建设。</w:t>
      </w:r>
    </w:p>
    <w:p>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2、示范区域晚稻收获实行秸秆禁烧和还田。</w:t>
      </w:r>
    </w:p>
    <w:p>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3、示范区域按本《通知》的项目选址和建设要求，各镇（街）农办在本辖区内遴选有一定基础和工作积极性较高、适合开展二项冬种示范的示范村或示范单位，做好《2021年冬种作物高产示范项目登记清册》登记工作（详见附件1）；经所在村或示范单位属地公示（7个工作日）无异议后，向区农业农村局申报（详见附件2）；区农业农村局组织5人评审组，依据各镇（街）农办的申报情况，结合实地察看进行评分，各申报得分原则为去掉最高分和最低分算3个分数的平均分，由高到低排名确定全区的示范镇（街）、示范村或示范单位，并在新会区政府信息公开平台公开公示确定结果（7个工作日）。其中：在属于今年粮食安全生产挖潜新增的水稻面积，且符合项目选址和建设要求的区域开展冬种小麦的，区农业农村局优先确定。</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b w:val="0"/>
          <w:bCs/>
          <w:color w:val="000000" w:themeColor="text1"/>
          <w:kern w:val="0"/>
          <w:sz w:val="32"/>
          <w:szCs w:val="32"/>
        </w:rPr>
      </w:pPr>
      <w:r>
        <w:rPr>
          <w:rFonts w:hint="eastAsia" w:ascii="黑体" w:hAnsi="黑体" w:eastAsia="黑体" w:cs="黑体"/>
          <w:b w:val="0"/>
          <w:bCs/>
          <w:color w:val="000000" w:themeColor="text1"/>
          <w:kern w:val="0"/>
          <w:sz w:val="32"/>
          <w:szCs w:val="32"/>
        </w:rPr>
        <w:t>四、实施主体、方式</w:t>
      </w:r>
    </w:p>
    <w:p>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color w:val="000000" w:themeColor="text1"/>
          <w:sz w:val="32"/>
          <w:szCs w:val="32"/>
        </w:rPr>
      </w:pPr>
      <w:r>
        <w:rPr>
          <w:rFonts w:hint="eastAsia" w:ascii="楷体" w:hAnsi="楷体" w:eastAsia="楷体" w:cs="楷体"/>
          <w:color w:val="000000" w:themeColor="text1"/>
          <w:kern w:val="0"/>
          <w:sz w:val="32"/>
          <w:szCs w:val="32"/>
        </w:rPr>
        <w:t>（一）实施主体：</w:t>
      </w:r>
      <w:r>
        <w:rPr>
          <w:rFonts w:hint="eastAsia" w:ascii="仿宋" w:hAnsi="仿宋" w:eastAsia="仿宋" w:cs="仿宋"/>
          <w:color w:val="000000" w:themeColor="text1"/>
          <w:sz w:val="32"/>
          <w:szCs w:val="32"/>
        </w:rPr>
        <w:t>各镇（街）农业农村办公室。</w:t>
      </w:r>
    </w:p>
    <w:p>
      <w:pPr>
        <w:keepNext w:val="0"/>
        <w:keepLines w:val="0"/>
        <w:pageBreakBefore w:val="0"/>
        <w:kinsoku/>
        <w:wordWrap/>
        <w:overflowPunct/>
        <w:topLinePunct w:val="0"/>
        <w:autoSpaceDE/>
        <w:autoSpaceDN/>
        <w:bidi w:val="0"/>
        <w:spacing w:line="560" w:lineRule="exact"/>
        <w:ind w:left="0" w:leftChars="0" w:firstLine="627" w:firstLineChars="196"/>
        <w:jc w:val="both"/>
        <w:textAlignment w:val="auto"/>
        <w:rPr>
          <w:rFonts w:hint="eastAsia" w:ascii="仿宋" w:hAnsi="仿宋" w:eastAsia="仿宋" w:cs="仿宋"/>
          <w:color w:val="000000" w:themeColor="text1"/>
          <w:sz w:val="32"/>
          <w:szCs w:val="32"/>
        </w:rPr>
      </w:pPr>
      <w:r>
        <w:rPr>
          <w:rFonts w:hint="eastAsia" w:ascii="楷体" w:hAnsi="楷体" w:eastAsia="楷体" w:cs="楷体"/>
          <w:color w:val="000000" w:themeColor="text1"/>
          <w:kern w:val="0"/>
          <w:sz w:val="32"/>
          <w:szCs w:val="32"/>
        </w:rPr>
        <w:t>（二）实施方式：</w:t>
      </w:r>
      <w:r>
        <w:rPr>
          <w:rFonts w:hint="eastAsia" w:ascii="仿宋" w:hAnsi="仿宋" w:eastAsia="仿宋" w:cs="仿宋"/>
          <w:color w:val="000000" w:themeColor="text1"/>
          <w:kern w:val="0"/>
          <w:sz w:val="32"/>
          <w:szCs w:val="32"/>
        </w:rPr>
        <w:t>由</w:t>
      </w:r>
      <w:r>
        <w:rPr>
          <w:rFonts w:hint="eastAsia" w:ascii="仿宋" w:hAnsi="仿宋" w:eastAsia="仿宋" w:cs="仿宋"/>
          <w:color w:val="000000" w:themeColor="text1"/>
          <w:sz w:val="32"/>
          <w:szCs w:val="32"/>
        </w:rPr>
        <w:t>区农业农村局按政府采购管理规定，确定一个中标供应商开展二项冬种示范全程化托种托管的社会化服务。包括：提供技术措施；购买种子、播种、施肥、开三沟、病虫害防控、管水及其它田间管理；机械收割小麦和秸秆还田；开展观摩培训、建立项目台账、示范牌标竖、满意度调查和总结审计验收等。</w:t>
      </w:r>
    </w:p>
    <w:p>
      <w:pPr>
        <w:keepNext w:val="0"/>
        <w:keepLines w:val="0"/>
        <w:pageBreakBefore w:val="0"/>
        <w:numPr>
          <w:ilvl w:val="0"/>
          <w:numId w:val="0"/>
        </w:numPr>
        <w:kinsoku/>
        <w:wordWrap/>
        <w:overflowPunct/>
        <w:topLinePunct w:val="0"/>
        <w:autoSpaceDE/>
        <w:autoSpaceDN/>
        <w:bidi w:val="0"/>
        <w:spacing w:line="560" w:lineRule="exact"/>
        <w:ind w:left="640" w:leftChars="0"/>
        <w:jc w:val="both"/>
        <w:textAlignment w:val="auto"/>
        <w:rPr>
          <w:rFonts w:hint="eastAsia" w:ascii="黑体" w:hAnsi="黑体" w:eastAsia="黑体" w:cs="黑体"/>
          <w:b w:val="0"/>
          <w:bCs/>
          <w:color w:val="000000" w:themeColor="text1"/>
          <w:kern w:val="0"/>
          <w:sz w:val="32"/>
          <w:szCs w:val="32"/>
        </w:rPr>
      </w:pPr>
      <w:r>
        <w:rPr>
          <w:rFonts w:hint="eastAsia" w:ascii="黑体" w:hAnsi="黑体" w:eastAsia="黑体" w:cs="黑体"/>
          <w:b w:val="0"/>
          <w:bCs/>
          <w:color w:val="000000" w:themeColor="text1"/>
          <w:kern w:val="0"/>
          <w:sz w:val="32"/>
          <w:szCs w:val="32"/>
        </w:rPr>
        <w:t>五、申报时间</w:t>
      </w:r>
    </w:p>
    <w:p>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b/>
          <w:bCs/>
          <w:color w:val="000000" w:themeColor="text1"/>
          <w:sz w:val="32"/>
          <w:szCs w:val="32"/>
        </w:rPr>
      </w:pPr>
      <w:r>
        <w:rPr>
          <w:rFonts w:hint="eastAsia" w:ascii="仿宋" w:hAnsi="仿宋" w:eastAsia="仿宋" w:cs="仿宋"/>
          <w:color w:val="000000" w:themeColor="text1"/>
          <w:sz w:val="32"/>
          <w:szCs w:val="32"/>
        </w:rPr>
        <w:t>2021年7月22日起至2021年7月29日止。</w:t>
      </w:r>
    </w:p>
    <w:p>
      <w:pPr>
        <w:keepNext w:val="0"/>
        <w:keepLines w:val="0"/>
        <w:pageBreakBefore w:val="0"/>
        <w:numPr>
          <w:ilvl w:val="0"/>
          <w:numId w:val="0"/>
        </w:numPr>
        <w:kinsoku/>
        <w:wordWrap/>
        <w:overflowPunct/>
        <w:topLinePunct w:val="0"/>
        <w:autoSpaceDE/>
        <w:autoSpaceDN/>
        <w:bidi w:val="0"/>
        <w:spacing w:line="560" w:lineRule="exact"/>
        <w:ind w:left="640" w:leftChars="0"/>
        <w:jc w:val="both"/>
        <w:textAlignment w:val="auto"/>
        <w:rPr>
          <w:rFonts w:hint="eastAsia" w:ascii="黑体" w:hAnsi="黑体" w:eastAsia="黑体" w:cs="黑体"/>
          <w:b w:val="0"/>
          <w:bCs/>
          <w:color w:val="000000" w:themeColor="text1"/>
          <w:kern w:val="0"/>
          <w:sz w:val="32"/>
          <w:szCs w:val="32"/>
        </w:rPr>
      </w:pPr>
      <w:r>
        <w:rPr>
          <w:rFonts w:hint="eastAsia" w:ascii="黑体" w:hAnsi="黑体" w:eastAsia="黑体" w:cs="黑体"/>
          <w:b w:val="0"/>
          <w:bCs/>
          <w:color w:val="000000" w:themeColor="text1"/>
          <w:kern w:val="0"/>
          <w:sz w:val="32"/>
          <w:szCs w:val="32"/>
        </w:rPr>
        <w:t>六、补助方式</w:t>
      </w:r>
    </w:p>
    <w:p>
      <w:pPr>
        <w:keepNext w:val="0"/>
        <w:keepLines w:val="0"/>
        <w:pageBreakBefore w:val="0"/>
        <w:widowControl/>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color w:val="000000" w:themeColor="text1"/>
          <w:kern w:val="0"/>
          <w:sz w:val="32"/>
          <w:szCs w:val="32"/>
        </w:rPr>
      </w:pPr>
      <w:r>
        <w:rPr>
          <w:rFonts w:hint="eastAsia" w:ascii="楷体" w:hAnsi="楷体" w:eastAsia="楷体" w:cs="楷体"/>
          <w:color w:val="000000" w:themeColor="text1"/>
          <w:kern w:val="0"/>
          <w:sz w:val="32"/>
          <w:szCs w:val="32"/>
        </w:rPr>
        <w:t>（一）资金规模。</w:t>
      </w:r>
      <w:r>
        <w:rPr>
          <w:rFonts w:hint="eastAsia" w:ascii="仿宋" w:hAnsi="仿宋" w:eastAsia="仿宋" w:cs="仿宋"/>
          <w:color w:val="000000" w:themeColor="text1"/>
          <w:sz w:val="32"/>
          <w:szCs w:val="32"/>
        </w:rPr>
        <w:t>本项目资金规模共28.5万元：市级涉农专项转移支付资金（第二批）冬种作物高产示范专项经费4万元以</w:t>
      </w:r>
      <w:r>
        <w:rPr>
          <w:rFonts w:hint="eastAsia" w:ascii="仿宋" w:hAnsi="仿宋" w:eastAsia="仿宋" w:cs="仿宋"/>
          <w:color w:val="000000" w:themeColor="text1"/>
          <w:kern w:val="0"/>
          <w:sz w:val="32"/>
          <w:szCs w:val="32"/>
        </w:rPr>
        <w:t>及</w:t>
      </w:r>
      <w:r>
        <w:rPr>
          <w:rFonts w:hint="eastAsia" w:ascii="仿宋" w:hAnsi="仿宋" w:eastAsia="仿宋" w:cs="仿宋"/>
          <w:color w:val="000000" w:themeColor="text1"/>
          <w:sz w:val="32"/>
          <w:szCs w:val="32"/>
        </w:rPr>
        <w:t>区级冬种作物高产示范项目资金24.5万元</w:t>
      </w:r>
      <w:r>
        <w:rPr>
          <w:rFonts w:hint="eastAsia" w:ascii="仿宋" w:hAnsi="仿宋" w:eastAsia="仿宋" w:cs="仿宋"/>
          <w:color w:val="000000" w:themeColor="text1"/>
          <w:kern w:val="0"/>
          <w:sz w:val="32"/>
          <w:szCs w:val="32"/>
        </w:rPr>
        <w:t>。</w:t>
      </w:r>
    </w:p>
    <w:p>
      <w:pPr>
        <w:keepNext w:val="0"/>
        <w:keepLines w:val="0"/>
        <w:pageBreakBefore w:val="0"/>
        <w:widowControl/>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color w:val="000000" w:themeColor="text1"/>
          <w:kern w:val="0"/>
          <w:sz w:val="32"/>
          <w:szCs w:val="32"/>
        </w:rPr>
      </w:pPr>
      <w:r>
        <w:rPr>
          <w:rFonts w:hint="eastAsia" w:ascii="楷体" w:hAnsi="楷体" w:eastAsia="楷体" w:cs="楷体"/>
          <w:color w:val="000000" w:themeColor="text1"/>
          <w:kern w:val="0"/>
          <w:sz w:val="32"/>
          <w:szCs w:val="32"/>
        </w:rPr>
        <w:t>（二）补助方式。</w:t>
      </w:r>
      <w:r>
        <w:rPr>
          <w:rFonts w:hint="eastAsia" w:ascii="仿宋" w:hAnsi="仿宋" w:eastAsia="仿宋" w:cs="仿宋"/>
          <w:color w:val="000000" w:themeColor="text1"/>
          <w:kern w:val="0"/>
          <w:sz w:val="32"/>
          <w:szCs w:val="32"/>
        </w:rPr>
        <w:t>按本项目的《社会化服务合同》条款和进度，由区农业农村局报请区财政局将补助资金补助给中标供应商。</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b w:val="0"/>
          <w:bCs/>
          <w:color w:val="000000" w:themeColor="text1"/>
          <w:kern w:val="0"/>
          <w:sz w:val="32"/>
          <w:szCs w:val="32"/>
        </w:rPr>
      </w:pPr>
      <w:r>
        <w:rPr>
          <w:rFonts w:hint="eastAsia" w:ascii="黑体" w:hAnsi="黑体" w:eastAsia="黑体" w:cs="黑体"/>
          <w:b w:val="0"/>
          <w:bCs/>
          <w:color w:val="000000" w:themeColor="text1"/>
          <w:kern w:val="0"/>
          <w:sz w:val="32"/>
          <w:szCs w:val="32"/>
        </w:rPr>
        <w:t>七、其它事宜</w:t>
      </w:r>
    </w:p>
    <w:p>
      <w:pPr>
        <w:keepNext w:val="0"/>
        <w:keepLines w:val="0"/>
        <w:pageBreakBefore w:val="0"/>
        <w:kinsoku/>
        <w:wordWrap/>
        <w:overflowPunct/>
        <w:topLinePunct w:val="0"/>
        <w:autoSpaceDE/>
        <w:autoSpaceDN/>
        <w:bidi w:val="0"/>
        <w:spacing w:line="560" w:lineRule="exact"/>
        <w:ind w:left="0" w:leftChars="0" w:firstLine="640"/>
        <w:jc w:val="both"/>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（一）请各镇（街）农办于7月29日前，通过“OA”将申报材料（含附件1、2、3）扫描件和电子文档，以及公示照片和示范区域位置图上报我局种植业管理股。</w:t>
      </w:r>
    </w:p>
    <w:p>
      <w:pPr>
        <w:keepNext w:val="0"/>
        <w:keepLines w:val="0"/>
        <w:pageBreakBefore w:val="0"/>
        <w:kinsoku/>
        <w:wordWrap/>
        <w:overflowPunct/>
        <w:topLinePunct w:val="0"/>
        <w:autoSpaceDE/>
        <w:autoSpaceDN/>
        <w:bidi w:val="0"/>
        <w:spacing w:line="560" w:lineRule="exact"/>
        <w:ind w:left="0" w:leftChars="0" w:firstLine="640"/>
        <w:jc w:val="both"/>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（二）对不申报，或不符合项目选址和建设要求情形之一的镇（街），我局不予支持开展本项目。</w:t>
      </w:r>
    </w:p>
    <w:p>
      <w:pPr>
        <w:keepNext w:val="0"/>
        <w:keepLines w:val="0"/>
        <w:pageBreakBefore w:val="0"/>
        <w:kinsoku/>
        <w:wordWrap/>
        <w:overflowPunct/>
        <w:topLinePunct w:val="0"/>
        <w:autoSpaceDE/>
        <w:autoSpaceDN/>
        <w:bidi w:val="0"/>
        <w:spacing w:line="560" w:lineRule="exact"/>
        <w:ind w:left="0" w:leftChars="0" w:firstLine="640"/>
        <w:jc w:val="both"/>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（三）二项冬种示范的收获农产品归示范户所有；彩色油菜花盛花期后的压青还田由示范户负责。</w:t>
      </w:r>
    </w:p>
    <w:p>
      <w:pPr>
        <w:keepNext w:val="0"/>
        <w:keepLines w:val="0"/>
        <w:pageBreakBefore w:val="0"/>
        <w:widowControl/>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sz w:val="32"/>
          <w:szCs w:val="32"/>
        </w:rPr>
        <w:t>（四）</w:t>
      </w:r>
      <w:r>
        <w:rPr>
          <w:rFonts w:hint="eastAsia" w:ascii="仿宋" w:hAnsi="仿宋" w:eastAsia="仿宋" w:cs="仿宋"/>
          <w:color w:val="000000" w:themeColor="text1"/>
          <w:kern w:val="0"/>
          <w:sz w:val="32"/>
          <w:szCs w:val="32"/>
        </w:rPr>
        <w:t>做好验收。中标供应商于2022年1月底前完成项目，向区农业农村局提出验收申请，组织种植和会计专业类，具中级（含）以上专业技术职称资格的3名专家进行项目验收，验收合格后持相关报账材料到区农业农村局报账。</w:t>
      </w:r>
    </w:p>
    <w:p>
      <w:pPr>
        <w:keepNext w:val="0"/>
        <w:keepLines w:val="0"/>
        <w:pageBreakBefore w:val="0"/>
        <w:kinsoku/>
        <w:wordWrap/>
        <w:overflowPunct/>
        <w:topLinePunct w:val="0"/>
        <w:autoSpaceDE/>
        <w:autoSpaceDN/>
        <w:bidi w:val="0"/>
        <w:spacing w:line="560" w:lineRule="exact"/>
        <w:ind w:left="1280" w:leftChars="0" w:hanging="1280" w:hangingChars="400"/>
        <w:jc w:val="both"/>
        <w:textAlignment w:val="auto"/>
        <w:rPr>
          <w:rFonts w:hint="eastAsia" w:ascii="仿宋" w:hAnsi="仿宋" w:eastAsia="仿宋" w:cs="仿宋"/>
          <w:color w:val="000000" w:themeColor="text1"/>
          <w:sz w:val="32"/>
          <w:szCs w:val="32"/>
        </w:rPr>
      </w:pPr>
    </w:p>
    <w:p>
      <w:pPr>
        <w:keepNext w:val="0"/>
        <w:keepLines w:val="0"/>
        <w:pageBreakBefore w:val="0"/>
        <w:kinsoku/>
        <w:wordWrap/>
        <w:overflowPunct/>
        <w:topLinePunct w:val="0"/>
        <w:autoSpaceDE/>
        <w:autoSpaceDN/>
        <w:bidi w:val="0"/>
        <w:spacing w:line="560" w:lineRule="exact"/>
        <w:ind w:left="1280" w:leftChars="200" w:hanging="640" w:hangingChars="200"/>
        <w:jc w:val="both"/>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附件：1.2021年冬种作物高产示范项目登记清册</w:t>
      </w:r>
    </w:p>
    <w:p>
      <w:pPr>
        <w:keepNext w:val="0"/>
        <w:keepLines w:val="0"/>
        <w:pageBreakBefore w:val="0"/>
        <w:kinsoku/>
        <w:wordWrap/>
        <w:overflowPunct/>
        <w:topLinePunct w:val="0"/>
        <w:autoSpaceDE/>
        <w:autoSpaceDN/>
        <w:bidi w:val="0"/>
        <w:spacing w:line="560" w:lineRule="exact"/>
        <w:ind w:left="0" w:leftChars="0" w:firstLine="1600" w:firstLineChars="500"/>
        <w:jc w:val="both"/>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2.2021年冬种作物高产示范项目申报表</w:t>
      </w:r>
    </w:p>
    <w:p>
      <w:pPr>
        <w:keepNext w:val="0"/>
        <w:keepLines w:val="0"/>
        <w:pageBreakBefore w:val="0"/>
        <w:kinsoku/>
        <w:wordWrap/>
        <w:overflowPunct/>
        <w:topLinePunct w:val="0"/>
        <w:autoSpaceDE/>
        <w:autoSpaceDN/>
        <w:bidi w:val="0"/>
        <w:adjustRightInd w:val="0"/>
        <w:snapToGrid w:val="0"/>
        <w:spacing w:line="560" w:lineRule="exact"/>
        <w:ind w:left="1920" w:leftChars="500" w:hanging="320" w:hangingChars="100"/>
        <w:jc w:val="both"/>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3.2021年冬种作物高产示范项目协议（参考样本）</w:t>
      </w:r>
    </w:p>
    <w:p>
      <w:pPr>
        <w:keepNext w:val="0"/>
        <w:keepLines w:val="0"/>
        <w:pageBreakBefore w:val="0"/>
        <w:kinsoku/>
        <w:wordWrap/>
        <w:overflowPunct/>
        <w:topLinePunct w:val="0"/>
        <w:autoSpaceDE/>
        <w:autoSpaceDN/>
        <w:bidi w:val="0"/>
        <w:adjustRightInd w:val="0"/>
        <w:snapToGrid w:val="0"/>
        <w:spacing w:line="560" w:lineRule="exact"/>
        <w:ind w:left="0" w:leftChars="0"/>
        <w:jc w:val="both"/>
        <w:textAlignment w:val="auto"/>
        <w:rPr>
          <w:rFonts w:ascii="仿宋_GB2312" w:hAnsi="仿宋" w:eastAsia="仿宋_GB2312" w:cs="仿宋"/>
          <w:color w:val="000000" w:themeColor="text1"/>
          <w:sz w:val="32"/>
          <w:szCs w:val="32"/>
        </w:rPr>
      </w:pPr>
    </w:p>
    <w:p>
      <w:pPr>
        <w:adjustRightInd w:val="0"/>
        <w:snapToGrid w:val="0"/>
        <w:spacing w:line="590" w:lineRule="exact"/>
        <w:rPr>
          <w:rFonts w:ascii="仿宋_GB2312" w:hAnsi="仿宋" w:eastAsia="仿宋_GB2312" w:cs="仿宋"/>
          <w:color w:val="000000" w:themeColor="text1"/>
          <w:sz w:val="28"/>
          <w:szCs w:val="28"/>
        </w:rPr>
      </w:pPr>
    </w:p>
    <w:p>
      <w:pPr>
        <w:adjustRightInd w:val="0"/>
        <w:snapToGrid w:val="0"/>
        <w:spacing w:line="590" w:lineRule="exact"/>
        <w:rPr>
          <w:rFonts w:ascii="仿宋_GB2312" w:hAnsi="仿宋" w:eastAsia="仿宋_GB2312" w:cs="仿宋"/>
          <w:color w:val="000000" w:themeColor="text1"/>
          <w:sz w:val="28"/>
          <w:szCs w:val="28"/>
        </w:rPr>
      </w:pPr>
    </w:p>
    <w:p>
      <w:pPr>
        <w:keepNext w:val="0"/>
        <w:keepLines w:val="0"/>
        <w:pageBreakBefore w:val="0"/>
        <w:numPr>
          <w:ilvl w:val="0"/>
          <w:numId w:val="0"/>
        </w:numPr>
        <w:kinsoku/>
        <w:wordWrap/>
        <w:overflowPunct/>
        <w:topLinePunct w:val="0"/>
        <w:autoSpaceDE/>
        <w:autoSpaceDN/>
        <w:bidi w:val="0"/>
        <w:spacing w:line="560" w:lineRule="exact"/>
        <w:ind w:left="640" w:leftChars="0"/>
        <w:jc w:val="both"/>
        <w:textAlignment w:val="auto"/>
        <w:rPr>
          <w:rFonts w:ascii="仿宋_GB2312" w:hAnsi="仿宋" w:eastAsia="仿宋_GB2312" w:cs="仿宋"/>
          <w:color w:val="000000" w:themeColor="text1"/>
          <w:sz w:val="28"/>
          <w:szCs w:val="28"/>
        </w:rPr>
      </w:pPr>
    </w:p>
    <w:p>
      <w:pPr>
        <w:adjustRightInd w:val="0"/>
        <w:snapToGrid w:val="0"/>
        <w:spacing w:line="590" w:lineRule="exact"/>
        <w:rPr>
          <w:rFonts w:ascii="仿宋_GB2312" w:hAnsi="仿宋" w:eastAsia="仿宋_GB2312" w:cs="仿宋"/>
          <w:color w:val="000000" w:themeColor="text1"/>
          <w:sz w:val="28"/>
          <w:szCs w:val="28"/>
        </w:rPr>
      </w:pPr>
    </w:p>
    <w:p>
      <w:pPr>
        <w:adjustRightInd w:val="0"/>
        <w:snapToGrid w:val="0"/>
        <w:spacing w:line="590" w:lineRule="exact"/>
        <w:rPr>
          <w:rFonts w:ascii="仿宋_GB2312" w:hAnsi="仿宋" w:eastAsia="仿宋_GB2312" w:cs="仿宋"/>
          <w:color w:val="000000" w:themeColor="text1"/>
          <w:sz w:val="28"/>
          <w:szCs w:val="28"/>
        </w:rPr>
      </w:pPr>
    </w:p>
    <w:p>
      <w:pPr>
        <w:adjustRightInd w:val="0"/>
        <w:snapToGrid w:val="0"/>
        <w:spacing w:line="590" w:lineRule="exact"/>
        <w:rPr>
          <w:rFonts w:ascii="仿宋_GB2312" w:hAnsi="仿宋" w:eastAsia="仿宋_GB2312" w:cs="仿宋"/>
          <w:color w:val="000000" w:themeColor="text1"/>
          <w:sz w:val="28"/>
          <w:szCs w:val="28"/>
        </w:rPr>
      </w:pPr>
    </w:p>
    <w:p>
      <w:pPr>
        <w:adjustRightInd w:val="0"/>
        <w:snapToGrid w:val="0"/>
        <w:spacing w:line="590" w:lineRule="exact"/>
        <w:rPr>
          <w:rFonts w:ascii="仿宋_GB2312" w:hAnsi="仿宋" w:eastAsia="仿宋_GB2312" w:cs="仿宋"/>
          <w:color w:val="000000" w:themeColor="text1"/>
          <w:sz w:val="28"/>
          <w:szCs w:val="28"/>
        </w:rPr>
      </w:pPr>
    </w:p>
    <w:p>
      <w:pPr>
        <w:adjustRightInd w:val="0"/>
        <w:snapToGrid w:val="0"/>
        <w:spacing w:line="590" w:lineRule="exact"/>
        <w:rPr>
          <w:rFonts w:ascii="仿宋_GB2312" w:hAnsi="仿宋" w:eastAsia="仿宋_GB2312" w:cs="仿宋"/>
          <w:color w:val="000000" w:themeColor="text1"/>
          <w:sz w:val="28"/>
          <w:szCs w:val="28"/>
        </w:rPr>
      </w:pPr>
    </w:p>
    <w:p>
      <w:pPr>
        <w:adjustRightInd w:val="0"/>
        <w:snapToGrid w:val="0"/>
        <w:spacing w:line="590" w:lineRule="exact"/>
        <w:rPr>
          <w:rFonts w:ascii="仿宋_GB2312" w:hAnsi="仿宋" w:eastAsia="仿宋_GB2312" w:cs="仿宋"/>
          <w:color w:val="000000" w:themeColor="text1"/>
          <w:sz w:val="28"/>
          <w:szCs w:val="28"/>
        </w:rPr>
      </w:pPr>
    </w:p>
    <w:p>
      <w:pPr>
        <w:adjustRightInd w:val="0"/>
        <w:snapToGrid w:val="0"/>
        <w:spacing w:line="590" w:lineRule="exact"/>
        <w:rPr>
          <w:rFonts w:ascii="仿宋_GB2312" w:hAnsi="仿宋" w:eastAsia="仿宋_GB2312" w:cs="仿宋"/>
          <w:color w:val="000000" w:themeColor="text1"/>
          <w:sz w:val="28"/>
          <w:szCs w:val="28"/>
        </w:rPr>
      </w:pPr>
    </w:p>
    <w:p>
      <w:pPr>
        <w:adjustRightInd w:val="0"/>
        <w:snapToGrid w:val="0"/>
        <w:spacing w:line="590" w:lineRule="exact"/>
        <w:rPr>
          <w:rFonts w:ascii="仿宋_GB2312" w:hAnsi="仿宋" w:eastAsia="仿宋_GB2312" w:cs="仿宋"/>
          <w:color w:val="000000" w:themeColor="text1"/>
          <w:sz w:val="28"/>
          <w:szCs w:val="28"/>
        </w:rPr>
      </w:pPr>
    </w:p>
    <w:p>
      <w:pPr>
        <w:adjustRightInd w:val="0"/>
        <w:snapToGrid w:val="0"/>
        <w:spacing w:line="590" w:lineRule="exact"/>
        <w:rPr>
          <w:rFonts w:ascii="仿宋_GB2312" w:hAnsi="仿宋" w:eastAsia="仿宋_GB2312" w:cs="仿宋"/>
          <w:color w:val="000000" w:themeColor="text1"/>
          <w:sz w:val="28"/>
          <w:szCs w:val="28"/>
        </w:rPr>
      </w:pPr>
    </w:p>
    <w:p>
      <w:pPr>
        <w:adjustRightInd w:val="0"/>
        <w:snapToGrid w:val="0"/>
        <w:spacing w:line="590" w:lineRule="exact"/>
        <w:rPr>
          <w:rFonts w:ascii="仿宋_GB2312" w:hAnsi="仿宋" w:eastAsia="仿宋_GB2312" w:cs="仿宋"/>
          <w:color w:val="000000" w:themeColor="text1"/>
          <w:sz w:val="28"/>
          <w:szCs w:val="28"/>
        </w:rPr>
      </w:pPr>
    </w:p>
    <w:p>
      <w:pPr>
        <w:adjustRightInd w:val="0"/>
        <w:snapToGrid w:val="0"/>
        <w:spacing w:line="590" w:lineRule="exact"/>
        <w:rPr>
          <w:rFonts w:ascii="仿宋_GB2312" w:hAnsi="仿宋" w:eastAsia="仿宋_GB2312" w:cs="仿宋"/>
          <w:color w:val="000000" w:themeColor="text1"/>
          <w:sz w:val="28"/>
          <w:szCs w:val="28"/>
        </w:rPr>
      </w:pPr>
    </w:p>
    <w:p>
      <w:pPr>
        <w:adjustRightInd w:val="0"/>
        <w:snapToGrid w:val="0"/>
        <w:spacing w:line="590" w:lineRule="exact"/>
        <w:rPr>
          <w:rFonts w:ascii="仿宋_GB2312" w:hAnsi="仿宋" w:eastAsia="仿宋_GB2312" w:cs="仿宋"/>
          <w:color w:val="000000" w:themeColor="text1"/>
          <w:sz w:val="28"/>
          <w:szCs w:val="28"/>
        </w:rPr>
      </w:pPr>
    </w:p>
    <w:p>
      <w:pPr>
        <w:adjustRightInd w:val="0"/>
        <w:snapToGrid w:val="0"/>
        <w:spacing w:line="590" w:lineRule="exact"/>
        <w:rPr>
          <w:rFonts w:ascii="仿宋_GB2312" w:hAnsi="仿宋" w:eastAsia="仿宋_GB2312" w:cs="仿宋"/>
          <w:color w:val="000000" w:themeColor="text1"/>
          <w:sz w:val="28"/>
          <w:szCs w:val="28"/>
        </w:rPr>
      </w:pPr>
    </w:p>
    <w:p>
      <w:pPr>
        <w:adjustRightInd w:val="0"/>
        <w:snapToGrid w:val="0"/>
        <w:spacing w:line="590" w:lineRule="exact"/>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附件1</w:t>
      </w:r>
    </w:p>
    <w:p>
      <w:pPr>
        <w:adjustRightInd w:val="0"/>
        <w:snapToGrid w:val="0"/>
        <w:spacing w:line="590" w:lineRule="exact"/>
        <w:jc w:val="center"/>
        <w:rPr>
          <w:rFonts w:hint="eastAsia" w:ascii="方正小标宋简体" w:hAnsi="方正小标宋简体" w:eastAsia="方正小标宋简体" w:cs="方正小标宋简体"/>
          <w:b w:val="0"/>
          <w:bCs/>
          <w:color w:val="000000" w:themeColor="text1"/>
          <w:sz w:val="44"/>
          <w:szCs w:val="44"/>
        </w:rPr>
      </w:pPr>
      <w:r>
        <w:rPr>
          <w:rFonts w:hint="eastAsia" w:ascii="方正小标宋简体" w:hAnsi="方正小标宋简体" w:eastAsia="方正小标宋简体" w:cs="方正小标宋简体"/>
          <w:b w:val="0"/>
          <w:bCs/>
          <w:color w:val="000000" w:themeColor="text1"/>
          <w:sz w:val="44"/>
          <w:szCs w:val="44"/>
        </w:rPr>
        <w:t>2021年冬种作物高产示范项目登记清册</w:t>
      </w:r>
    </w:p>
    <w:p>
      <w:pPr>
        <w:adjustRightInd w:val="0"/>
        <w:snapToGrid w:val="0"/>
        <w:spacing w:line="590" w:lineRule="exact"/>
        <w:rPr>
          <w:rFonts w:ascii="仿宋" w:hAnsi="仿宋" w:eastAsia="仿宋" w:cs="方正小标宋简体"/>
          <w:b/>
          <w:color w:val="000000" w:themeColor="text1"/>
          <w:sz w:val="32"/>
          <w:szCs w:val="32"/>
          <w:u w:val="single"/>
        </w:rPr>
      </w:pPr>
      <w:r>
        <w:rPr>
          <w:rFonts w:hint="eastAsia" w:ascii="仿宋" w:hAnsi="仿宋" w:eastAsia="仿宋" w:cs="宋体"/>
          <w:color w:val="000000" w:themeColor="text1"/>
          <w:kern w:val="0"/>
          <w:sz w:val="32"/>
          <w:szCs w:val="32"/>
        </w:rPr>
        <w:t>镇(街）农办（盖章）        示范区域</w:t>
      </w:r>
      <w:r>
        <w:rPr>
          <w:rFonts w:hint="eastAsia" w:ascii="仿宋" w:hAnsi="仿宋" w:eastAsia="仿宋" w:cs="宋体"/>
          <w:color w:val="000000" w:themeColor="text1"/>
          <w:kern w:val="0"/>
          <w:sz w:val="28"/>
          <w:szCs w:val="28"/>
        </w:rPr>
        <w:t>（土名）</w:t>
      </w:r>
      <w:r>
        <w:rPr>
          <w:rFonts w:hint="eastAsia" w:ascii="仿宋" w:hAnsi="仿宋" w:eastAsia="仿宋" w:cs="宋体"/>
          <w:color w:val="000000" w:themeColor="text1"/>
          <w:kern w:val="0"/>
          <w:sz w:val="28"/>
          <w:szCs w:val="28"/>
          <w:u w:val="single"/>
        </w:rPr>
        <w:t xml:space="preserve">             </w:t>
      </w:r>
    </w:p>
    <w:tbl>
      <w:tblPr>
        <w:tblStyle w:val="10"/>
        <w:tblW w:w="898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106"/>
        <w:gridCol w:w="964"/>
        <w:gridCol w:w="1695"/>
        <w:gridCol w:w="870"/>
        <w:gridCol w:w="810"/>
        <w:gridCol w:w="1950"/>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42" w:type="dxa"/>
            <w:vMerge w:val="restart"/>
            <w:vAlign w:val="center"/>
          </w:tcPr>
          <w:p>
            <w:pPr>
              <w:widowControl/>
              <w:tabs>
                <w:tab w:val="center" w:pos="4153"/>
                <w:tab w:val="right" w:pos="8306"/>
              </w:tabs>
              <w:snapToGrid w:val="0"/>
              <w:jc w:val="center"/>
              <w:rPr>
                <w:rFonts w:ascii="仿宋" w:hAnsi="仿宋" w:eastAsia="仿宋" w:cs="宋体"/>
                <w:b/>
                <w:bCs/>
                <w:color w:val="000000" w:themeColor="text1"/>
                <w:kern w:val="0"/>
                <w:sz w:val="24"/>
                <w:szCs w:val="24"/>
              </w:rPr>
            </w:pPr>
            <w:r>
              <w:rPr>
                <w:rFonts w:hint="eastAsia" w:ascii="仿宋" w:hAnsi="仿宋" w:eastAsia="仿宋" w:cs="宋体"/>
                <w:b/>
                <w:bCs/>
                <w:color w:val="000000" w:themeColor="text1"/>
                <w:kern w:val="0"/>
                <w:sz w:val="24"/>
                <w:szCs w:val="24"/>
              </w:rPr>
              <w:t>序号</w:t>
            </w:r>
          </w:p>
        </w:tc>
        <w:tc>
          <w:tcPr>
            <w:tcW w:w="1106" w:type="dxa"/>
            <w:vMerge w:val="restart"/>
            <w:vAlign w:val="center"/>
          </w:tcPr>
          <w:p>
            <w:pPr>
              <w:widowControl/>
              <w:tabs>
                <w:tab w:val="center" w:pos="4153"/>
                <w:tab w:val="right" w:pos="8306"/>
              </w:tabs>
              <w:snapToGrid w:val="0"/>
              <w:jc w:val="center"/>
              <w:rPr>
                <w:rFonts w:ascii="仿宋" w:hAnsi="仿宋" w:eastAsia="仿宋" w:cs="宋体"/>
                <w:b/>
                <w:bCs/>
                <w:color w:val="000000" w:themeColor="text1"/>
                <w:kern w:val="0"/>
                <w:sz w:val="24"/>
                <w:szCs w:val="24"/>
              </w:rPr>
            </w:pPr>
            <w:r>
              <w:rPr>
                <w:rFonts w:hint="eastAsia" w:ascii="仿宋" w:hAnsi="仿宋" w:eastAsia="仿宋" w:cs="宋体"/>
                <w:b/>
                <w:bCs/>
                <w:color w:val="000000" w:themeColor="text1"/>
                <w:kern w:val="0"/>
                <w:sz w:val="24"/>
                <w:szCs w:val="24"/>
              </w:rPr>
              <w:t>参与示范户姓名或名称</w:t>
            </w:r>
          </w:p>
        </w:tc>
        <w:tc>
          <w:tcPr>
            <w:tcW w:w="964" w:type="dxa"/>
            <w:vMerge w:val="restart"/>
            <w:vAlign w:val="center"/>
          </w:tcPr>
          <w:p>
            <w:pPr>
              <w:widowControl/>
              <w:tabs>
                <w:tab w:val="center" w:pos="4153"/>
                <w:tab w:val="right" w:pos="8306"/>
              </w:tabs>
              <w:snapToGrid w:val="0"/>
              <w:jc w:val="center"/>
              <w:rPr>
                <w:rFonts w:ascii="仿宋" w:hAnsi="仿宋" w:eastAsia="仿宋" w:cs="宋体"/>
                <w:b/>
                <w:bCs/>
                <w:color w:val="000000" w:themeColor="text1"/>
                <w:kern w:val="0"/>
                <w:sz w:val="24"/>
                <w:szCs w:val="24"/>
              </w:rPr>
            </w:pPr>
            <w:r>
              <w:rPr>
                <w:rFonts w:hint="eastAsia" w:ascii="仿宋" w:hAnsi="仿宋" w:eastAsia="仿宋" w:cs="宋体"/>
                <w:b/>
                <w:bCs/>
                <w:color w:val="000000" w:themeColor="text1"/>
                <w:kern w:val="0"/>
                <w:sz w:val="24"/>
                <w:szCs w:val="24"/>
              </w:rPr>
              <w:t>参与示范面积（亩）</w:t>
            </w:r>
          </w:p>
        </w:tc>
        <w:tc>
          <w:tcPr>
            <w:tcW w:w="3375" w:type="dxa"/>
            <w:gridSpan w:val="3"/>
            <w:vAlign w:val="center"/>
          </w:tcPr>
          <w:p>
            <w:pPr>
              <w:widowControl/>
              <w:tabs>
                <w:tab w:val="center" w:pos="4153"/>
                <w:tab w:val="right" w:pos="8306"/>
              </w:tabs>
              <w:snapToGrid w:val="0"/>
              <w:jc w:val="center"/>
              <w:rPr>
                <w:rFonts w:ascii="仿宋" w:hAnsi="仿宋" w:eastAsia="仿宋" w:cs="宋体"/>
                <w:b/>
                <w:bCs/>
                <w:color w:val="000000" w:themeColor="text1"/>
                <w:kern w:val="0"/>
                <w:sz w:val="24"/>
                <w:szCs w:val="24"/>
              </w:rPr>
            </w:pPr>
            <w:r>
              <w:rPr>
                <w:rFonts w:hint="eastAsia" w:ascii="仿宋" w:hAnsi="仿宋" w:eastAsia="仿宋" w:cs="宋体"/>
                <w:b/>
                <w:bCs/>
                <w:color w:val="000000" w:themeColor="text1"/>
                <w:kern w:val="0"/>
                <w:sz w:val="24"/>
                <w:szCs w:val="24"/>
              </w:rPr>
              <w:t>是否属于</w:t>
            </w:r>
          </w:p>
        </w:tc>
        <w:tc>
          <w:tcPr>
            <w:tcW w:w="1950" w:type="dxa"/>
            <w:vMerge w:val="restart"/>
            <w:vAlign w:val="center"/>
          </w:tcPr>
          <w:p>
            <w:pPr>
              <w:widowControl/>
              <w:tabs>
                <w:tab w:val="center" w:pos="4153"/>
                <w:tab w:val="right" w:pos="8306"/>
              </w:tabs>
              <w:snapToGrid w:val="0"/>
              <w:jc w:val="center"/>
              <w:rPr>
                <w:rFonts w:ascii="仿宋" w:hAnsi="仿宋" w:eastAsia="仿宋" w:cs="宋体"/>
                <w:b/>
                <w:bCs/>
                <w:color w:val="000000" w:themeColor="text1"/>
                <w:kern w:val="0"/>
                <w:sz w:val="24"/>
                <w:szCs w:val="24"/>
              </w:rPr>
            </w:pPr>
            <w:r>
              <w:rPr>
                <w:rFonts w:hint="eastAsia" w:ascii="仿宋" w:hAnsi="仿宋" w:eastAsia="仿宋" w:cs="宋体"/>
                <w:b/>
                <w:bCs/>
                <w:color w:val="000000" w:themeColor="text1"/>
                <w:kern w:val="0"/>
                <w:sz w:val="24"/>
                <w:szCs w:val="24"/>
              </w:rPr>
              <w:t>是否同意由村委会或示范单位与镇（街）农办签订示范协议</w:t>
            </w:r>
          </w:p>
        </w:tc>
        <w:tc>
          <w:tcPr>
            <w:tcW w:w="1050" w:type="dxa"/>
            <w:vMerge w:val="restart"/>
            <w:vAlign w:val="center"/>
          </w:tcPr>
          <w:p>
            <w:pPr>
              <w:widowControl/>
              <w:tabs>
                <w:tab w:val="center" w:pos="4153"/>
                <w:tab w:val="right" w:pos="8306"/>
              </w:tabs>
              <w:snapToGrid w:val="0"/>
              <w:jc w:val="center"/>
              <w:rPr>
                <w:rFonts w:ascii="仿宋" w:hAnsi="仿宋" w:eastAsia="仿宋" w:cs="宋体"/>
                <w:b/>
                <w:bCs/>
                <w:color w:val="000000" w:themeColor="text1"/>
                <w:kern w:val="0"/>
                <w:sz w:val="24"/>
                <w:szCs w:val="24"/>
              </w:rPr>
            </w:pPr>
            <w:r>
              <w:rPr>
                <w:rFonts w:hint="eastAsia" w:ascii="仿宋" w:hAnsi="仿宋" w:eastAsia="仿宋" w:cs="宋体"/>
                <w:b/>
                <w:bCs/>
                <w:color w:val="000000" w:themeColor="text1"/>
                <w:kern w:val="0"/>
                <w:sz w:val="24"/>
                <w:szCs w:val="24"/>
              </w:rPr>
              <w:t>户主签字指模确认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542" w:type="dxa"/>
            <w:vMerge w:val="continue"/>
            <w:vAlign w:val="center"/>
          </w:tcPr>
          <w:p>
            <w:pPr>
              <w:widowControl/>
              <w:tabs>
                <w:tab w:val="center" w:pos="4153"/>
                <w:tab w:val="right" w:pos="8306"/>
              </w:tabs>
              <w:snapToGrid w:val="0"/>
              <w:jc w:val="center"/>
              <w:rPr>
                <w:color w:val="000000" w:themeColor="text1"/>
              </w:rPr>
            </w:pPr>
          </w:p>
        </w:tc>
        <w:tc>
          <w:tcPr>
            <w:tcW w:w="1106" w:type="dxa"/>
            <w:vMerge w:val="continue"/>
            <w:vAlign w:val="center"/>
          </w:tcPr>
          <w:p>
            <w:pPr>
              <w:widowControl/>
              <w:tabs>
                <w:tab w:val="center" w:pos="4153"/>
                <w:tab w:val="right" w:pos="8306"/>
              </w:tabs>
              <w:snapToGrid w:val="0"/>
              <w:jc w:val="center"/>
              <w:rPr>
                <w:color w:val="000000" w:themeColor="text1"/>
              </w:rPr>
            </w:pPr>
          </w:p>
        </w:tc>
        <w:tc>
          <w:tcPr>
            <w:tcW w:w="964" w:type="dxa"/>
            <w:vMerge w:val="continue"/>
            <w:vAlign w:val="center"/>
          </w:tcPr>
          <w:p>
            <w:pPr>
              <w:widowControl/>
              <w:tabs>
                <w:tab w:val="center" w:pos="4153"/>
                <w:tab w:val="right" w:pos="8306"/>
              </w:tabs>
              <w:snapToGrid w:val="0"/>
              <w:jc w:val="center"/>
              <w:rPr>
                <w:color w:val="000000" w:themeColor="text1"/>
              </w:rPr>
            </w:pPr>
          </w:p>
        </w:tc>
        <w:tc>
          <w:tcPr>
            <w:tcW w:w="1695" w:type="dxa"/>
            <w:vAlign w:val="center"/>
          </w:tcPr>
          <w:p>
            <w:pPr>
              <w:widowControl/>
              <w:tabs>
                <w:tab w:val="center" w:pos="4153"/>
                <w:tab w:val="right" w:pos="8306"/>
              </w:tabs>
              <w:snapToGrid w:val="0"/>
              <w:jc w:val="center"/>
              <w:rPr>
                <w:color w:val="000000" w:themeColor="text1"/>
              </w:rPr>
            </w:pPr>
            <w:r>
              <w:rPr>
                <w:rFonts w:hint="eastAsia" w:ascii="仿宋" w:hAnsi="仿宋" w:eastAsia="仿宋" w:cs="宋体"/>
                <w:b/>
                <w:bCs/>
                <w:color w:val="000000" w:themeColor="text1"/>
                <w:kern w:val="0"/>
                <w:sz w:val="24"/>
                <w:szCs w:val="24"/>
              </w:rPr>
              <w:t>今年粮食安全生产挖潜的水稻新增面积</w:t>
            </w:r>
          </w:p>
        </w:tc>
        <w:tc>
          <w:tcPr>
            <w:tcW w:w="870" w:type="dxa"/>
            <w:vAlign w:val="center"/>
          </w:tcPr>
          <w:p>
            <w:pPr>
              <w:widowControl/>
              <w:tabs>
                <w:tab w:val="center" w:pos="4153"/>
                <w:tab w:val="right" w:pos="8306"/>
              </w:tabs>
              <w:snapToGrid w:val="0"/>
              <w:jc w:val="center"/>
              <w:rPr>
                <w:color w:val="000000" w:themeColor="text1"/>
              </w:rPr>
            </w:pPr>
            <w:r>
              <w:rPr>
                <w:rFonts w:hint="eastAsia" w:ascii="仿宋" w:hAnsi="仿宋" w:eastAsia="仿宋" w:cs="宋体"/>
                <w:b/>
                <w:bCs/>
                <w:color w:val="000000" w:themeColor="text1"/>
                <w:kern w:val="0"/>
                <w:sz w:val="24"/>
                <w:szCs w:val="24"/>
              </w:rPr>
              <w:t>冬闲稻田</w:t>
            </w:r>
          </w:p>
        </w:tc>
        <w:tc>
          <w:tcPr>
            <w:tcW w:w="810" w:type="dxa"/>
            <w:vAlign w:val="center"/>
          </w:tcPr>
          <w:p>
            <w:pPr>
              <w:widowControl/>
              <w:tabs>
                <w:tab w:val="center" w:pos="4153"/>
                <w:tab w:val="right" w:pos="8306"/>
              </w:tabs>
              <w:snapToGrid w:val="0"/>
              <w:jc w:val="center"/>
              <w:rPr>
                <w:color w:val="000000" w:themeColor="text1"/>
              </w:rPr>
            </w:pPr>
            <w:r>
              <w:rPr>
                <w:rFonts w:hint="eastAsia" w:ascii="仿宋" w:hAnsi="仿宋" w:eastAsia="仿宋" w:cs="宋体"/>
                <w:b/>
                <w:bCs/>
                <w:color w:val="000000" w:themeColor="text1"/>
                <w:kern w:val="0"/>
                <w:sz w:val="24"/>
                <w:szCs w:val="24"/>
              </w:rPr>
              <w:t>旱地</w:t>
            </w:r>
          </w:p>
        </w:tc>
        <w:tc>
          <w:tcPr>
            <w:tcW w:w="1950" w:type="dxa"/>
            <w:vMerge w:val="continue"/>
            <w:vAlign w:val="center"/>
          </w:tcPr>
          <w:p>
            <w:pPr>
              <w:widowControl/>
              <w:tabs>
                <w:tab w:val="center" w:pos="4153"/>
                <w:tab w:val="right" w:pos="8306"/>
              </w:tabs>
              <w:snapToGrid w:val="0"/>
              <w:jc w:val="center"/>
              <w:rPr>
                <w:color w:val="000000" w:themeColor="text1"/>
              </w:rPr>
            </w:pPr>
          </w:p>
        </w:tc>
        <w:tc>
          <w:tcPr>
            <w:tcW w:w="1050" w:type="dxa"/>
            <w:vMerge w:val="continue"/>
            <w:vAlign w:val="center"/>
          </w:tcPr>
          <w:p>
            <w:pPr>
              <w:widowControl/>
              <w:tabs>
                <w:tab w:val="center" w:pos="4153"/>
                <w:tab w:val="right" w:pos="8306"/>
              </w:tabs>
              <w:snapToGrid w:val="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42"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1</w:t>
            </w:r>
          </w:p>
        </w:tc>
        <w:tc>
          <w:tcPr>
            <w:tcW w:w="1106"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964"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695"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87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81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95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05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42"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2</w:t>
            </w:r>
          </w:p>
        </w:tc>
        <w:tc>
          <w:tcPr>
            <w:tcW w:w="1106" w:type="dxa"/>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964"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695"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87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81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95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05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42"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3</w:t>
            </w:r>
          </w:p>
        </w:tc>
        <w:tc>
          <w:tcPr>
            <w:tcW w:w="1106" w:type="dxa"/>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964"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695"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87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81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95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05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42"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4</w:t>
            </w:r>
          </w:p>
        </w:tc>
        <w:tc>
          <w:tcPr>
            <w:tcW w:w="1106" w:type="dxa"/>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964"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695"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87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81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95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05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42"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5</w:t>
            </w:r>
          </w:p>
        </w:tc>
        <w:tc>
          <w:tcPr>
            <w:tcW w:w="1106" w:type="dxa"/>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964"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695"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87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81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95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05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42"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6</w:t>
            </w:r>
          </w:p>
        </w:tc>
        <w:tc>
          <w:tcPr>
            <w:tcW w:w="1106" w:type="dxa"/>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964"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695"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87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81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95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05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42"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7</w:t>
            </w:r>
          </w:p>
        </w:tc>
        <w:tc>
          <w:tcPr>
            <w:tcW w:w="1106" w:type="dxa"/>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964"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695"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87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81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95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05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42"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8</w:t>
            </w:r>
          </w:p>
        </w:tc>
        <w:tc>
          <w:tcPr>
            <w:tcW w:w="1106" w:type="dxa"/>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964"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695"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87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81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95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05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42"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9</w:t>
            </w:r>
          </w:p>
        </w:tc>
        <w:tc>
          <w:tcPr>
            <w:tcW w:w="1106" w:type="dxa"/>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964"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695"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87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81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95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05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42"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10</w:t>
            </w:r>
          </w:p>
        </w:tc>
        <w:tc>
          <w:tcPr>
            <w:tcW w:w="1106" w:type="dxa"/>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964"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695"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87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81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95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05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42"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11</w:t>
            </w:r>
          </w:p>
        </w:tc>
        <w:tc>
          <w:tcPr>
            <w:tcW w:w="1106" w:type="dxa"/>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964"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695"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87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81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95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05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42"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12</w:t>
            </w:r>
          </w:p>
        </w:tc>
        <w:tc>
          <w:tcPr>
            <w:tcW w:w="1106" w:type="dxa"/>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964"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695"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87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81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95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05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42"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13</w:t>
            </w:r>
          </w:p>
        </w:tc>
        <w:tc>
          <w:tcPr>
            <w:tcW w:w="1106" w:type="dxa"/>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964"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695"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87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81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95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05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42"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14</w:t>
            </w:r>
          </w:p>
        </w:tc>
        <w:tc>
          <w:tcPr>
            <w:tcW w:w="1106" w:type="dxa"/>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964"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695"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87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81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95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05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42"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15</w:t>
            </w:r>
          </w:p>
        </w:tc>
        <w:tc>
          <w:tcPr>
            <w:tcW w:w="1106" w:type="dxa"/>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964"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695"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87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81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95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05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42"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16</w:t>
            </w:r>
          </w:p>
        </w:tc>
        <w:tc>
          <w:tcPr>
            <w:tcW w:w="1106" w:type="dxa"/>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964"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695"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87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81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95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05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42"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17</w:t>
            </w:r>
          </w:p>
        </w:tc>
        <w:tc>
          <w:tcPr>
            <w:tcW w:w="1106" w:type="dxa"/>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964"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695"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87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81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95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05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42"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18</w:t>
            </w:r>
          </w:p>
        </w:tc>
        <w:tc>
          <w:tcPr>
            <w:tcW w:w="1106" w:type="dxa"/>
          </w:tcPr>
          <w:p>
            <w:pPr>
              <w:widowControl/>
              <w:tabs>
                <w:tab w:val="center" w:pos="4153"/>
                <w:tab w:val="right" w:pos="8306"/>
              </w:tabs>
              <w:snapToGrid w:val="0"/>
              <w:jc w:val="center"/>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合计</w:t>
            </w:r>
          </w:p>
        </w:tc>
        <w:tc>
          <w:tcPr>
            <w:tcW w:w="964"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695"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87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81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95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c>
          <w:tcPr>
            <w:tcW w:w="1050"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trPr>
        <w:tc>
          <w:tcPr>
            <w:tcW w:w="542" w:type="dxa"/>
            <w:vAlign w:val="center"/>
          </w:tcPr>
          <w:p>
            <w:pPr>
              <w:widowControl/>
              <w:tabs>
                <w:tab w:val="center" w:pos="4153"/>
                <w:tab w:val="right" w:pos="8306"/>
              </w:tabs>
              <w:snapToGrid w:val="0"/>
              <w:jc w:val="center"/>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19</w:t>
            </w:r>
          </w:p>
        </w:tc>
        <w:tc>
          <w:tcPr>
            <w:tcW w:w="8445" w:type="dxa"/>
            <w:gridSpan w:val="7"/>
          </w:tcPr>
          <w:p>
            <w:pPr>
              <w:widowControl/>
              <w:tabs>
                <w:tab w:val="center" w:pos="4153"/>
                <w:tab w:val="right" w:pos="8306"/>
              </w:tabs>
              <w:snapToGrid w:val="0"/>
              <w:jc w:val="left"/>
              <w:rPr>
                <w:rFonts w:ascii="仿宋" w:hAnsi="仿宋" w:eastAsia="仿宋" w:cs="宋体"/>
                <w:b/>
                <w:bCs/>
                <w:color w:val="000000" w:themeColor="text1"/>
                <w:kern w:val="0"/>
                <w:sz w:val="24"/>
                <w:szCs w:val="24"/>
              </w:rPr>
            </w:pPr>
            <w:r>
              <w:rPr>
                <w:rFonts w:hint="eastAsia" w:ascii="仿宋" w:hAnsi="仿宋" w:eastAsia="仿宋" w:cs="宋体"/>
                <w:b/>
                <w:bCs/>
                <w:color w:val="000000" w:themeColor="text1"/>
                <w:kern w:val="0"/>
                <w:sz w:val="24"/>
                <w:szCs w:val="24"/>
              </w:rPr>
              <w:t>村委会（或示范单位）意见：</w:t>
            </w:r>
          </w:p>
          <w:p>
            <w:pPr>
              <w:widowControl/>
              <w:tabs>
                <w:tab w:val="center" w:pos="4153"/>
                <w:tab w:val="right" w:pos="8306"/>
              </w:tabs>
              <w:snapToGrid w:val="0"/>
              <w:jc w:val="left"/>
              <w:rPr>
                <w:rFonts w:ascii="仿宋" w:hAnsi="仿宋" w:eastAsia="仿宋" w:cs="宋体"/>
                <w:b/>
                <w:bCs/>
                <w:color w:val="000000" w:themeColor="text1"/>
                <w:kern w:val="0"/>
                <w:sz w:val="24"/>
                <w:szCs w:val="24"/>
              </w:rPr>
            </w:pPr>
          </w:p>
          <w:p>
            <w:pPr>
              <w:widowControl/>
              <w:tabs>
                <w:tab w:val="center" w:pos="4153"/>
                <w:tab w:val="right" w:pos="8306"/>
              </w:tabs>
              <w:snapToGrid w:val="0"/>
              <w:jc w:val="left"/>
              <w:rPr>
                <w:rFonts w:ascii="仿宋" w:hAnsi="仿宋" w:eastAsia="仿宋" w:cs="宋体"/>
                <w:b/>
                <w:bCs/>
                <w:color w:val="000000" w:themeColor="text1"/>
                <w:kern w:val="0"/>
                <w:sz w:val="24"/>
                <w:szCs w:val="24"/>
              </w:rPr>
            </w:pPr>
          </w:p>
          <w:p>
            <w:pPr>
              <w:widowControl/>
              <w:tabs>
                <w:tab w:val="center" w:pos="4153"/>
                <w:tab w:val="right" w:pos="8306"/>
              </w:tabs>
              <w:snapToGrid w:val="0"/>
              <w:jc w:val="left"/>
              <w:rPr>
                <w:rFonts w:ascii="仿宋" w:hAnsi="仿宋" w:eastAsia="仿宋" w:cs="宋体"/>
                <w:b/>
                <w:bCs/>
                <w:color w:val="000000" w:themeColor="text1"/>
                <w:kern w:val="0"/>
                <w:sz w:val="24"/>
                <w:szCs w:val="24"/>
              </w:rPr>
            </w:pPr>
            <w:r>
              <w:rPr>
                <w:rFonts w:hint="eastAsia" w:ascii="仿宋" w:hAnsi="仿宋" w:eastAsia="仿宋" w:cs="宋体"/>
                <w:b/>
                <w:bCs/>
                <w:color w:val="000000" w:themeColor="text1"/>
                <w:kern w:val="0"/>
                <w:sz w:val="24"/>
                <w:szCs w:val="24"/>
              </w:rPr>
              <w:t xml:space="preserve">                               村委会或示范单位公章</w:t>
            </w:r>
          </w:p>
          <w:p>
            <w:pPr>
              <w:widowControl/>
              <w:tabs>
                <w:tab w:val="center" w:pos="4153"/>
                <w:tab w:val="right" w:pos="8306"/>
              </w:tabs>
              <w:snapToGrid w:val="0"/>
              <w:jc w:val="left"/>
              <w:rPr>
                <w:rFonts w:ascii="仿宋" w:hAnsi="仿宋" w:eastAsia="仿宋" w:cs="宋体"/>
                <w:b/>
                <w:bCs/>
                <w:color w:val="000000" w:themeColor="text1"/>
                <w:kern w:val="0"/>
                <w:sz w:val="24"/>
                <w:szCs w:val="24"/>
              </w:rPr>
            </w:pPr>
            <w:r>
              <w:rPr>
                <w:rFonts w:hint="eastAsia" w:ascii="仿宋" w:hAnsi="仿宋" w:eastAsia="仿宋" w:cs="宋体"/>
                <w:b/>
                <w:bCs/>
                <w:color w:val="000000" w:themeColor="text1"/>
                <w:kern w:val="0"/>
                <w:sz w:val="24"/>
                <w:szCs w:val="24"/>
              </w:rPr>
              <w:t xml:space="preserve">                              村主任或单位负责人签字： </w:t>
            </w:r>
          </w:p>
        </w:tc>
      </w:tr>
    </w:tbl>
    <w:p>
      <w:pPr>
        <w:widowControl/>
        <w:jc w:val="left"/>
        <w:rPr>
          <w:rFonts w:ascii="仿宋" w:hAnsi="仿宋" w:eastAsia="仿宋" w:cs="宋体"/>
          <w:b/>
          <w:color w:val="000000" w:themeColor="text1"/>
          <w:kern w:val="0"/>
          <w:sz w:val="28"/>
          <w:szCs w:val="28"/>
        </w:rPr>
      </w:pPr>
      <w:r>
        <w:rPr>
          <w:rFonts w:hint="eastAsia" w:ascii="仿宋" w:hAnsi="仿宋" w:eastAsia="仿宋" w:cs="宋体"/>
          <w:b/>
          <w:color w:val="000000" w:themeColor="text1"/>
          <w:kern w:val="0"/>
          <w:sz w:val="28"/>
          <w:szCs w:val="28"/>
        </w:rPr>
        <w:t>注：附盖村委会或示范单位和镇（街）农办公章的示范区域位置图。</w:t>
      </w:r>
    </w:p>
    <w:p>
      <w:pPr>
        <w:widowControl/>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镇（街）经办人签字：         镇（街）主任签字：</w:t>
      </w:r>
    </w:p>
    <w:p>
      <w:pPr>
        <w:widowControl/>
        <w:ind w:firstLine="3840" w:firstLineChars="1200"/>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登记日期：2021年  月  日</w:t>
      </w:r>
    </w:p>
    <w:p>
      <w:pPr>
        <w:rPr>
          <w:rFonts w:ascii="仿宋_GB2312" w:hAnsi="仿宋" w:eastAsia="仿宋_GB2312" w:cs="仿宋"/>
          <w:color w:val="000000" w:themeColor="text1"/>
          <w:sz w:val="28"/>
          <w:szCs w:val="28"/>
        </w:rPr>
        <w:sectPr>
          <w:headerReference r:id="rId4" w:type="first"/>
          <w:headerReference r:id="rId3" w:type="default"/>
          <w:footerReference r:id="rId5" w:type="default"/>
          <w:pgSz w:w="11906" w:h="16838"/>
          <w:pgMar w:top="1701" w:right="1587" w:bottom="1417" w:left="1587" w:header="851" w:footer="992" w:gutter="0"/>
          <w:pgNumType w:fmt="decimal"/>
          <w:cols w:space="0" w:num="1"/>
          <w:titlePg/>
          <w:docGrid w:type="lines" w:linePitch="319" w:charSpace="0"/>
        </w:sect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附件2</w:t>
      </w:r>
    </w:p>
    <w:p>
      <w:pPr>
        <w:keepNext w:val="0"/>
        <w:keepLines w:val="0"/>
        <w:pageBreakBefore w:val="0"/>
        <w:widowControl w:val="0"/>
        <w:kinsoku/>
        <w:wordWrap/>
        <w:overflowPunct/>
        <w:topLinePunct w:val="0"/>
        <w:autoSpaceDE/>
        <w:autoSpaceDN/>
        <w:bidi w:val="0"/>
        <w:adjustRightInd/>
        <w:snapToGrid/>
        <w:jc w:val="center"/>
        <w:textAlignment w:val="auto"/>
        <w:rPr>
          <w:rFonts w:ascii="仿宋" w:hAnsi="仿宋" w:eastAsia="仿宋" w:cs="仿宋"/>
          <w:b/>
          <w:bCs/>
          <w:color w:val="000000" w:themeColor="text1"/>
          <w:sz w:val="44"/>
          <w:szCs w:val="44"/>
        </w:rPr>
      </w:pPr>
      <w:r>
        <w:rPr>
          <w:rFonts w:hint="eastAsia" w:ascii="方正小标宋简体" w:hAnsi="方正小标宋简体" w:eastAsia="方正小标宋简体" w:cs="方正小标宋简体"/>
          <w:color w:val="000000" w:themeColor="text1"/>
          <w:sz w:val="44"/>
          <w:szCs w:val="44"/>
        </w:rPr>
        <w:t>2021年冬种作物高产示范项目申报</w:t>
      </w:r>
      <w:r>
        <w:rPr>
          <w:rFonts w:hint="eastAsia" w:ascii="方正小标宋简体" w:hAnsi="方正小标宋简体" w:eastAsia="方正小标宋简体" w:cs="方正小标宋简体"/>
          <w:bCs/>
          <w:color w:val="000000" w:themeColor="text1"/>
          <w:sz w:val="44"/>
          <w:szCs w:val="44"/>
        </w:rPr>
        <w:t>表</w:t>
      </w:r>
    </w:p>
    <w:p>
      <w:pPr>
        <w:keepNext w:val="0"/>
        <w:keepLines w:val="0"/>
        <w:pageBreakBefore w:val="0"/>
        <w:widowControl w:val="0"/>
        <w:kinsoku/>
        <w:wordWrap/>
        <w:overflowPunct/>
        <w:topLinePunct w:val="0"/>
        <w:autoSpaceDE/>
        <w:autoSpaceDN/>
        <w:bidi w:val="0"/>
        <w:adjustRightInd/>
        <w:snapToGrid/>
        <w:ind w:firstLine="420"/>
        <w:jc w:val="left"/>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申报单位（公章）：镇（街）农业农村办公室                     申报时间：2021年   月  日</w:t>
      </w:r>
    </w:p>
    <w:tbl>
      <w:tblPr>
        <w:tblStyle w:val="10"/>
        <w:tblW w:w="146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1579"/>
        <w:gridCol w:w="995"/>
        <w:gridCol w:w="1009"/>
        <w:gridCol w:w="1159"/>
        <w:gridCol w:w="805"/>
        <w:gridCol w:w="1787"/>
        <w:gridCol w:w="1364"/>
        <w:gridCol w:w="1828"/>
        <w:gridCol w:w="1555"/>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579" w:type="dxa"/>
            <w:vMerge w:val="restart"/>
            <w:vAlign w:val="center"/>
          </w:tcPr>
          <w:p>
            <w:pPr>
              <w:jc w:val="center"/>
              <w:rPr>
                <w:rFonts w:ascii="仿宋" w:hAnsi="仿宋" w:eastAsia="仿宋"/>
                <w:color w:val="000000" w:themeColor="text1"/>
                <w:sz w:val="24"/>
                <w:szCs w:val="24"/>
              </w:rPr>
            </w:pPr>
            <w:r>
              <w:rPr>
                <w:rFonts w:hint="eastAsia" w:ascii="仿宋" w:hAnsi="仿宋" w:eastAsia="仿宋"/>
                <w:color w:val="000000" w:themeColor="text1"/>
                <w:sz w:val="24"/>
                <w:szCs w:val="24"/>
              </w:rPr>
              <w:t>示范村    或示范单位</w:t>
            </w:r>
          </w:p>
        </w:tc>
        <w:tc>
          <w:tcPr>
            <w:tcW w:w="1579" w:type="dxa"/>
            <w:vMerge w:val="restart"/>
            <w:vAlign w:val="center"/>
          </w:tcPr>
          <w:p>
            <w:pPr>
              <w:jc w:val="center"/>
              <w:rPr>
                <w:rFonts w:ascii="仿宋" w:hAnsi="仿宋" w:eastAsia="仿宋"/>
                <w:color w:val="000000" w:themeColor="text1"/>
                <w:sz w:val="24"/>
                <w:szCs w:val="24"/>
              </w:rPr>
            </w:pPr>
            <w:r>
              <w:rPr>
                <w:rFonts w:hint="eastAsia" w:ascii="仿宋" w:hAnsi="仿宋" w:eastAsia="仿宋"/>
                <w:color w:val="000000" w:themeColor="text1"/>
                <w:sz w:val="24"/>
                <w:szCs w:val="24"/>
              </w:rPr>
              <w:t>示范区域  （土名）</w:t>
            </w:r>
          </w:p>
        </w:tc>
        <w:tc>
          <w:tcPr>
            <w:tcW w:w="995" w:type="dxa"/>
            <w:vMerge w:val="restart"/>
            <w:vAlign w:val="center"/>
          </w:tcPr>
          <w:p>
            <w:pPr>
              <w:jc w:val="center"/>
              <w:rPr>
                <w:rFonts w:ascii="仿宋" w:hAnsi="仿宋" w:eastAsia="仿宋"/>
                <w:color w:val="000000" w:themeColor="text1"/>
                <w:sz w:val="24"/>
                <w:szCs w:val="24"/>
              </w:rPr>
            </w:pPr>
            <w:r>
              <w:rPr>
                <w:rFonts w:hint="eastAsia" w:ascii="仿宋" w:hAnsi="仿宋" w:eastAsia="仿宋"/>
                <w:color w:val="000000" w:themeColor="text1"/>
                <w:sz w:val="24"/>
                <w:szCs w:val="24"/>
              </w:rPr>
              <w:t>参与示范户数（户）</w:t>
            </w:r>
          </w:p>
        </w:tc>
        <w:tc>
          <w:tcPr>
            <w:tcW w:w="1009" w:type="dxa"/>
            <w:vMerge w:val="restart"/>
            <w:vAlign w:val="center"/>
          </w:tcPr>
          <w:p>
            <w:pPr>
              <w:jc w:val="center"/>
              <w:rPr>
                <w:rFonts w:ascii="仿宋" w:hAnsi="仿宋" w:eastAsia="仿宋"/>
                <w:color w:val="000000" w:themeColor="text1"/>
                <w:sz w:val="24"/>
                <w:szCs w:val="24"/>
              </w:rPr>
            </w:pPr>
            <w:r>
              <w:rPr>
                <w:rFonts w:hint="eastAsia" w:ascii="仿宋" w:hAnsi="仿宋" w:eastAsia="仿宋"/>
                <w:color w:val="000000" w:themeColor="text1"/>
                <w:sz w:val="24"/>
                <w:szCs w:val="24"/>
              </w:rPr>
              <w:t>示范规模（亩）</w:t>
            </w:r>
          </w:p>
        </w:tc>
        <w:tc>
          <w:tcPr>
            <w:tcW w:w="1964" w:type="dxa"/>
            <w:gridSpan w:val="2"/>
            <w:vAlign w:val="center"/>
          </w:tcPr>
          <w:p>
            <w:pPr>
              <w:jc w:val="center"/>
              <w:rPr>
                <w:rFonts w:ascii="仿宋" w:hAnsi="仿宋" w:eastAsia="仿宋"/>
                <w:color w:val="000000" w:themeColor="text1"/>
                <w:sz w:val="24"/>
                <w:szCs w:val="24"/>
              </w:rPr>
            </w:pPr>
            <w:r>
              <w:rPr>
                <w:rFonts w:hint="eastAsia" w:ascii="仿宋" w:hAnsi="仿宋" w:eastAsia="仿宋"/>
                <w:color w:val="000000" w:themeColor="text1"/>
                <w:sz w:val="24"/>
                <w:szCs w:val="24"/>
              </w:rPr>
              <w:t>其中：</w:t>
            </w:r>
          </w:p>
        </w:tc>
        <w:tc>
          <w:tcPr>
            <w:tcW w:w="1787" w:type="dxa"/>
            <w:vMerge w:val="restart"/>
            <w:vAlign w:val="center"/>
          </w:tcPr>
          <w:p>
            <w:pPr>
              <w:jc w:val="center"/>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是否属于今年粮食安全生产挖潜的水稻新增面积</w:t>
            </w:r>
          </w:p>
        </w:tc>
        <w:tc>
          <w:tcPr>
            <w:tcW w:w="1364" w:type="dxa"/>
            <w:vMerge w:val="restart"/>
            <w:vAlign w:val="center"/>
          </w:tcPr>
          <w:p>
            <w:pPr>
              <w:jc w:val="center"/>
              <w:rPr>
                <w:rFonts w:ascii="仿宋" w:hAnsi="仿宋" w:eastAsia="仿宋"/>
                <w:color w:val="000000" w:themeColor="text1"/>
                <w:sz w:val="24"/>
                <w:szCs w:val="24"/>
              </w:rPr>
            </w:pPr>
            <w:r>
              <w:rPr>
                <w:rFonts w:hint="eastAsia" w:ascii="仿宋" w:hAnsi="仿宋" w:eastAsia="仿宋" w:cs="仿宋"/>
                <w:color w:val="000000" w:themeColor="text1"/>
                <w:sz w:val="24"/>
                <w:szCs w:val="24"/>
              </w:rPr>
              <w:t>是否符合项目选址和建设要求</w:t>
            </w:r>
          </w:p>
        </w:tc>
        <w:tc>
          <w:tcPr>
            <w:tcW w:w="1828" w:type="dxa"/>
            <w:vMerge w:val="restart"/>
            <w:vAlign w:val="center"/>
          </w:tcPr>
          <w:p>
            <w:pPr>
              <w:jc w:val="center"/>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其中：</w:t>
            </w:r>
            <w:r>
              <w:rPr>
                <w:rFonts w:hint="eastAsia" w:ascii="仿宋" w:hAnsi="仿宋" w:eastAsia="仿宋"/>
                <w:color w:val="000000" w:themeColor="text1"/>
                <w:sz w:val="24"/>
                <w:szCs w:val="24"/>
              </w:rPr>
              <w:t>彩色油菜花的示范区域属于冬闲稻田还是旱地</w:t>
            </w:r>
          </w:p>
        </w:tc>
        <w:tc>
          <w:tcPr>
            <w:tcW w:w="1555" w:type="dxa"/>
            <w:vMerge w:val="restart"/>
            <w:vAlign w:val="center"/>
          </w:tcPr>
          <w:p>
            <w:pPr>
              <w:jc w:val="center"/>
              <w:rPr>
                <w:rFonts w:ascii="仿宋" w:hAnsi="仿宋" w:eastAsia="仿宋"/>
                <w:color w:val="000000" w:themeColor="text1"/>
                <w:sz w:val="24"/>
                <w:szCs w:val="24"/>
              </w:rPr>
            </w:pPr>
            <w:r>
              <w:rPr>
                <w:rFonts w:hint="eastAsia" w:ascii="仿宋" w:hAnsi="仿宋" w:eastAsia="仿宋"/>
                <w:color w:val="000000" w:themeColor="text1"/>
                <w:sz w:val="24"/>
                <w:szCs w:val="24"/>
              </w:rPr>
              <w:t>小麦的示范区域是否属于冬闲稻田</w:t>
            </w:r>
          </w:p>
        </w:tc>
        <w:tc>
          <w:tcPr>
            <w:tcW w:w="955" w:type="dxa"/>
            <w:vMerge w:val="restart"/>
            <w:vAlign w:val="center"/>
          </w:tcPr>
          <w:p>
            <w:pPr>
              <w:jc w:val="center"/>
              <w:rPr>
                <w:rFonts w:ascii="仿宋" w:hAnsi="仿宋" w:eastAsia="仿宋"/>
                <w:color w:val="000000" w:themeColor="text1"/>
                <w:sz w:val="24"/>
                <w:szCs w:val="24"/>
              </w:rPr>
            </w:pPr>
            <w:r>
              <w:rPr>
                <w:rFonts w:hint="eastAsia" w:ascii="仿宋" w:hAnsi="仿宋" w:eastAsia="仿宋"/>
                <w:color w:val="000000" w:themeColor="text1"/>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1579" w:type="dxa"/>
            <w:vMerge w:val="continue"/>
            <w:vAlign w:val="center"/>
          </w:tcPr>
          <w:p>
            <w:pPr>
              <w:jc w:val="center"/>
              <w:rPr>
                <w:rFonts w:ascii="仿宋" w:hAnsi="仿宋" w:eastAsia="仿宋"/>
                <w:color w:val="000000" w:themeColor="text1"/>
                <w:sz w:val="24"/>
                <w:szCs w:val="24"/>
              </w:rPr>
            </w:pPr>
          </w:p>
        </w:tc>
        <w:tc>
          <w:tcPr>
            <w:tcW w:w="1579" w:type="dxa"/>
            <w:vMerge w:val="continue"/>
            <w:vAlign w:val="center"/>
          </w:tcPr>
          <w:p>
            <w:pPr>
              <w:jc w:val="center"/>
              <w:rPr>
                <w:rFonts w:ascii="仿宋" w:hAnsi="仿宋" w:eastAsia="仿宋"/>
                <w:color w:val="000000" w:themeColor="text1"/>
                <w:sz w:val="24"/>
                <w:szCs w:val="24"/>
              </w:rPr>
            </w:pPr>
          </w:p>
        </w:tc>
        <w:tc>
          <w:tcPr>
            <w:tcW w:w="995" w:type="dxa"/>
            <w:vMerge w:val="continue"/>
            <w:vAlign w:val="center"/>
          </w:tcPr>
          <w:p>
            <w:pPr>
              <w:jc w:val="center"/>
              <w:rPr>
                <w:rFonts w:ascii="仿宋" w:hAnsi="仿宋" w:eastAsia="仿宋"/>
                <w:color w:val="000000" w:themeColor="text1"/>
                <w:sz w:val="24"/>
                <w:szCs w:val="24"/>
              </w:rPr>
            </w:pPr>
          </w:p>
        </w:tc>
        <w:tc>
          <w:tcPr>
            <w:tcW w:w="1009" w:type="dxa"/>
            <w:vMerge w:val="continue"/>
            <w:vAlign w:val="center"/>
          </w:tcPr>
          <w:p>
            <w:pPr>
              <w:jc w:val="center"/>
              <w:rPr>
                <w:rFonts w:ascii="仿宋" w:hAnsi="仿宋" w:eastAsia="仿宋"/>
                <w:color w:val="000000" w:themeColor="text1"/>
                <w:sz w:val="24"/>
                <w:szCs w:val="24"/>
              </w:rPr>
            </w:pPr>
          </w:p>
        </w:tc>
        <w:tc>
          <w:tcPr>
            <w:tcW w:w="1159" w:type="dxa"/>
            <w:vAlign w:val="center"/>
          </w:tcPr>
          <w:p>
            <w:pPr>
              <w:jc w:val="center"/>
              <w:rPr>
                <w:rFonts w:ascii="仿宋" w:hAnsi="仿宋" w:eastAsia="仿宋"/>
                <w:color w:val="000000" w:themeColor="text1"/>
                <w:szCs w:val="21"/>
              </w:rPr>
            </w:pPr>
            <w:r>
              <w:rPr>
                <w:rFonts w:hint="eastAsia" w:ascii="仿宋" w:hAnsi="仿宋" w:eastAsia="仿宋"/>
                <w:color w:val="000000" w:themeColor="text1"/>
                <w:sz w:val="24"/>
                <w:szCs w:val="24"/>
              </w:rPr>
              <w:t>彩色油菜花（亩）</w:t>
            </w:r>
          </w:p>
        </w:tc>
        <w:tc>
          <w:tcPr>
            <w:tcW w:w="805" w:type="dxa"/>
            <w:vAlign w:val="center"/>
          </w:tcPr>
          <w:p>
            <w:pPr>
              <w:jc w:val="center"/>
              <w:rPr>
                <w:rFonts w:ascii="仿宋" w:hAnsi="仿宋" w:eastAsia="仿宋"/>
                <w:color w:val="000000" w:themeColor="text1"/>
                <w:sz w:val="24"/>
                <w:szCs w:val="24"/>
              </w:rPr>
            </w:pPr>
            <w:r>
              <w:rPr>
                <w:rFonts w:ascii="仿宋" w:hAnsi="仿宋" w:eastAsia="仿宋"/>
                <w:color w:val="000000" w:themeColor="text1"/>
                <w:sz w:val="24"/>
                <w:szCs w:val="24"/>
              </w:rPr>
              <w:t>小麦</w:t>
            </w:r>
            <w:r>
              <w:rPr>
                <w:rFonts w:hint="eastAsia" w:ascii="仿宋" w:hAnsi="仿宋" w:eastAsia="仿宋"/>
                <w:color w:val="000000" w:themeColor="text1"/>
                <w:sz w:val="24"/>
                <w:szCs w:val="24"/>
              </w:rPr>
              <w:t>（亩）</w:t>
            </w:r>
          </w:p>
        </w:tc>
        <w:tc>
          <w:tcPr>
            <w:tcW w:w="1787" w:type="dxa"/>
            <w:vMerge w:val="continue"/>
            <w:vAlign w:val="center"/>
          </w:tcPr>
          <w:p>
            <w:pPr>
              <w:jc w:val="center"/>
              <w:rPr>
                <w:rFonts w:ascii="仿宋" w:hAnsi="仿宋" w:eastAsia="仿宋" w:cs="仿宋"/>
                <w:color w:val="000000" w:themeColor="text1"/>
                <w:sz w:val="24"/>
                <w:szCs w:val="24"/>
              </w:rPr>
            </w:pPr>
          </w:p>
        </w:tc>
        <w:tc>
          <w:tcPr>
            <w:tcW w:w="1364" w:type="dxa"/>
            <w:vMerge w:val="continue"/>
            <w:vAlign w:val="center"/>
          </w:tcPr>
          <w:p>
            <w:pPr>
              <w:jc w:val="center"/>
              <w:rPr>
                <w:rFonts w:ascii="仿宋" w:hAnsi="仿宋" w:eastAsia="仿宋" w:cs="仿宋"/>
                <w:color w:val="000000" w:themeColor="text1"/>
                <w:sz w:val="24"/>
                <w:szCs w:val="24"/>
              </w:rPr>
            </w:pPr>
          </w:p>
        </w:tc>
        <w:tc>
          <w:tcPr>
            <w:tcW w:w="1828" w:type="dxa"/>
            <w:vMerge w:val="continue"/>
            <w:vAlign w:val="center"/>
          </w:tcPr>
          <w:p>
            <w:pPr>
              <w:jc w:val="center"/>
              <w:rPr>
                <w:rFonts w:ascii="仿宋" w:hAnsi="仿宋" w:eastAsia="仿宋" w:cs="仿宋"/>
                <w:color w:val="000000" w:themeColor="text1"/>
                <w:sz w:val="24"/>
                <w:szCs w:val="24"/>
              </w:rPr>
            </w:pPr>
          </w:p>
        </w:tc>
        <w:tc>
          <w:tcPr>
            <w:tcW w:w="1555" w:type="dxa"/>
            <w:vMerge w:val="continue"/>
            <w:vAlign w:val="center"/>
          </w:tcPr>
          <w:p>
            <w:pPr>
              <w:jc w:val="center"/>
              <w:rPr>
                <w:rFonts w:ascii="仿宋" w:hAnsi="仿宋" w:eastAsia="仿宋" w:cs="仿宋"/>
                <w:color w:val="000000" w:themeColor="text1"/>
                <w:sz w:val="24"/>
                <w:szCs w:val="24"/>
              </w:rPr>
            </w:pPr>
          </w:p>
        </w:tc>
        <w:tc>
          <w:tcPr>
            <w:tcW w:w="955" w:type="dxa"/>
            <w:vMerge w:val="continue"/>
            <w:vAlign w:val="center"/>
          </w:tcPr>
          <w:p>
            <w:pPr>
              <w:jc w:val="center"/>
              <w:rPr>
                <w:rFonts w:ascii="仿宋" w:hAnsi="仿宋" w:eastAsia="仿宋"/>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579" w:type="dxa"/>
            <w:vAlign w:val="center"/>
          </w:tcPr>
          <w:p>
            <w:pPr>
              <w:jc w:val="center"/>
              <w:rPr>
                <w:rFonts w:ascii="仿宋" w:hAnsi="仿宋" w:eastAsia="仿宋"/>
                <w:color w:val="000000" w:themeColor="text1"/>
                <w:sz w:val="24"/>
                <w:szCs w:val="24"/>
              </w:rPr>
            </w:pPr>
          </w:p>
        </w:tc>
        <w:tc>
          <w:tcPr>
            <w:tcW w:w="1579" w:type="dxa"/>
            <w:vAlign w:val="center"/>
          </w:tcPr>
          <w:p>
            <w:pPr>
              <w:jc w:val="center"/>
              <w:rPr>
                <w:rFonts w:ascii="仿宋" w:hAnsi="仿宋" w:eastAsia="仿宋"/>
                <w:color w:val="000000" w:themeColor="text1"/>
                <w:sz w:val="24"/>
                <w:szCs w:val="24"/>
              </w:rPr>
            </w:pPr>
          </w:p>
        </w:tc>
        <w:tc>
          <w:tcPr>
            <w:tcW w:w="995" w:type="dxa"/>
            <w:vAlign w:val="center"/>
          </w:tcPr>
          <w:p>
            <w:pPr>
              <w:jc w:val="center"/>
              <w:rPr>
                <w:rFonts w:ascii="仿宋" w:hAnsi="仿宋" w:eastAsia="仿宋"/>
                <w:color w:val="000000" w:themeColor="text1"/>
                <w:sz w:val="24"/>
                <w:szCs w:val="24"/>
              </w:rPr>
            </w:pPr>
          </w:p>
        </w:tc>
        <w:tc>
          <w:tcPr>
            <w:tcW w:w="1009" w:type="dxa"/>
            <w:vAlign w:val="center"/>
          </w:tcPr>
          <w:p>
            <w:pPr>
              <w:jc w:val="center"/>
              <w:rPr>
                <w:rFonts w:ascii="仿宋" w:hAnsi="仿宋" w:eastAsia="仿宋"/>
                <w:color w:val="000000" w:themeColor="text1"/>
                <w:sz w:val="24"/>
                <w:szCs w:val="24"/>
              </w:rPr>
            </w:pPr>
          </w:p>
        </w:tc>
        <w:tc>
          <w:tcPr>
            <w:tcW w:w="1159" w:type="dxa"/>
            <w:vAlign w:val="center"/>
          </w:tcPr>
          <w:p>
            <w:pPr>
              <w:jc w:val="center"/>
              <w:rPr>
                <w:rFonts w:ascii="仿宋" w:hAnsi="仿宋" w:eastAsia="仿宋"/>
                <w:color w:val="000000" w:themeColor="text1"/>
                <w:sz w:val="24"/>
                <w:szCs w:val="24"/>
              </w:rPr>
            </w:pPr>
          </w:p>
        </w:tc>
        <w:tc>
          <w:tcPr>
            <w:tcW w:w="805" w:type="dxa"/>
            <w:vAlign w:val="center"/>
          </w:tcPr>
          <w:p>
            <w:pPr>
              <w:jc w:val="center"/>
              <w:rPr>
                <w:rFonts w:ascii="仿宋" w:hAnsi="仿宋" w:eastAsia="仿宋"/>
                <w:color w:val="000000" w:themeColor="text1"/>
                <w:sz w:val="24"/>
                <w:szCs w:val="24"/>
              </w:rPr>
            </w:pPr>
          </w:p>
        </w:tc>
        <w:tc>
          <w:tcPr>
            <w:tcW w:w="1787" w:type="dxa"/>
            <w:vAlign w:val="center"/>
          </w:tcPr>
          <w:p>
            <w:pPr>
              <w:jc w:val="center"/>
              <w:rPr>
                <w:rFonts w:ascii="仿宋" w:hAnsi="仿宋" w:eastAsia="仿宋" w:cs="仿宋"/>
                <w:color w:val="000000" w:themeColor="text1"/>
                <w:sz w:val="24"/>
                <w:szCs w:val="24"/>
              </w:rPr>
            </w:pPr>
          </w:p>
        </w:tc>
        <w:tc>
          <w:tcPr>
            <w:tcW w:w="1364" w:type="dxa"/>
            <w:vAlign w:val="center"/>
          </w:tcPr>
          <w:p>
            <w:pPr>
              <w:jc w:val="center"/>
              <w:rPr>
                <w:rFonts w:ascii="仿宋" w:hAnsi="仿宋" w:eastAsia="仿宋"/>
                <w:color w:val="000000" w:themeColor="text1"/>
                <w:sz w:val="24"/>
                <w:szCs w:val="24"/>
              </w:rPr>
            </w:pPr>
          </w:p>
        </w:tc>
        <w:tc>
          <w:tcPr>
            <w:tcW w:w="1828" w:type="dxa"/>
            <w:vAlign w:val="center"/>
          </w:tcPr>
          <w:p>
            <w:pPr>
              <w:jc w:val="center"/>
              <w:rPr>
                <w:rFonts w:ascii="仿宋" w:hAnsi="仿宋" w:eastAsia="仿宋" w:cs="仿宋"/>
                <w:color w:val="000000" w:themeColor="text1"/>
                <w:sz w:val="24"/>
                <w:szCs w:val="24"/>
              </w:rPr>
            </w:pPr>
          </w:p>
        </w:tc>
        <w:tc>
          <w:tcPr>
            <w:tcW w:w="1555" w:type="dxa"/>
            <w:vAlign w:val="center"/>
          </w:tcPr>
          <w:p>
            <w:pPr>
              <w:jc w:val="center"/>
              <w:rPr>
                <w:rFonts w:ascii="仿宋" w:hAnsi="仿宋" w:eastAsia="仿宋" w:cs="仿宋"/>
                <w:color w:val="000000" w:themeColor="text1"/>
                <w:sz w:val="24"/>
                <w:szCs w:val="24"/>
              </w:rPr>
            </w:pPr>
          </w:p>
        </w:tc>
        <w:tc>
          <w:tcPr>
            <w:tcW w:w="955" w:type="dxa"/>
            <w:vAlign w:val="center"/>
          </w:tcPr>
          <w:p>
            <w:pPr>
              <w:jc w:val="center"/>
              <w:rPr>
                <w:rFonts w:ascii="仿宋" w:hAnsi="仿宋" w:eastAsia="仿宋"/>
                <w:color w:val="000000" w:themeColor="text1"/>
                <w:sz w:val="24"/>
                <w:szCs w:val="24"/>
              </w:rPr>
            </w:pPr>
          </w:p>
        </w:tc>
      </w:tr>
    </w:tbl>
    <w:p>
      <w:pPr>
        <w:jc w:val="left"/>
        <w:rPr>
          <w:rFonts w:ascii="仿宋" w:hAnsi="仿宋" w:eastAsia="仿宋"/>
          <w:color w:val="000000" w:themeColor="text1"/>
          <w:sz w:val="28"/>
          <w:szCs w:val="28"/>
        </w:rPr>
      </w:pPr>
      <w:r>
        <w:rPr>
          <w:rFonts w:hint="eastAsia" w:ascii="仿宋" w:hAnsi="仿宋" w:eastAsia="仿宋"/>
          <w:color w:val="000000" w:themeColor="text1"/>
          <w:sz w:val="28"/>
          <w:szCs w:val="28"/>
        </w:rPr>
        <w:t>经办（联系）人签字：             镇（街）农办主任签字：               分管领导签字：</w:t>
      </w:r>
    </w:p>
    <w:p>
      <w:pPr>
        <w:jc w:val="left"/>
        <w:rPr>
          <w:rFonts w:ascii="仿宋" w:hAnsi="仿宋" w:eastAsia="仿宋"/>
          <w:color w:val="000000" w:themeColor="text1"/>
          <w:sz w:val="28"/>
          <w:szCs w:val="28"/>
        </w:rPr>
      </w:pPr>
    </w:p>
    <w:p>
      <w:pPr>
        <w:jc w:val="left"/>
        <w:rPr>
          <w:rFonts w:ascii="仿宋" w:hAnsi="仿宋" w:eastAsia="仿宋"/>
          <w:color w:val="000000" w:themeColor="text1"/>
          <w:sz w:val="28"/>
          <w:szCs w:val="28"/>
        </w:rPr>
      </w:pPr>
    </w:p>
    <w:p>
      <w:pPr>
        <w:jc w:val="left"/>
        <w:rPr>
          <w:rFonts w:ascii="仿宋" w:hAnsi="仿宋" w:eastAsia="仿宋"/>
          <w:color w:val="000000" w:themeColor="text1"/>
          <w:sz w:val="28"/>
          <w:szCs w:val="28"/>
        </w:rPr>
      </w:pPr>
    </w:p>
    <w:p>
      <w:pPr>
        <w:jc w:val="left"/>
        <w:rPr>
          <w:rFonts w:ascii="仿宋" w:hAnsi="仿宋" w:eastAsia="仿宋"/>
          <w:color w:val="000000" w:themeColor="text1"/>
          <w:sz w:val="28"/>
          <w:szCs w:val="28"/>
        </w:rPr>
      </w:pPr>
    </w:p>
    <w:p>
      <w:pPr>
        <w:jc w:val="left"/>
        <w:rPr>
          <w:rFonts w:ascii="仿宋" w:hAnsi="仿宋" w:eastAsia="仿宋"/>
          <w:color w:val="000000" w:themeColor="text1"/>
          <w:sz w:val="28"/>
          <w:szCs w:val="28"/>
        </w:rPr>
        <w:sectPr>
          <w:pgSz w:w="16838" w:h="11906" w:orient="landscape"/>
          <w:pgMar w:top="1803" w:right="1440" w:bottom="1803" w:left="1440" w:header="851" w:footer="992" w:gutter="0"/>
          <w:pgNumType w:fmt="decimal"/>
          <w:cols w:space="0" w:num="1"/>
          <w:docGrid w:type="linesAndChars" w:linePitch="319" w:charSpace="0"/>
        </w:sectPr>
      </w:pPr>
    </w:p>
    <w:p>
      <w:pPr>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附件3</w:t>
      </w:r>
    </w:p>
    <w:p>
      <w:pPr>
        <w:adjustRightInd w:val="0"/>
        <w:snapToGrid w:val="0"/>
        <w:spacing w:line="590" w:lineRule="exact"/>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2021年冬种作物高产示范项目协议</w:t>
      </w:r>
    </w:p>
    <w:p>
      <w:pPr>
        <w:adjustRightInd w:val="0"/>
        <w:snapToGrid w:val="0"/>
        <w:spacing w:line="590" w:lineRule="exact"/>
        <w:jc w:val="center"/>
        <w:rPr>
          <w:rFonts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（参考样本）</w:t>
      </w:r>
    </w:p>
    <w:p>
      <w:pPr>
        <w:adjustRightInd w:val="0"/>
        <w:snapToGrid w:val="0"/>
        <w:spacing w:line="590" w:lineRule="exact"/>
        <w:jc w:val="center"/>
        <w:rPr>
          <w:rFonts w:ascii="楷体_GB2312" w:hAnsi="楷体_GB2312" w:eastAsia="楷体_GB2312" w:cs="楷体_GB2312"/>
          <w:color w:val="000000" w:themeColor="text1"/>
          <w:sz w:val="32"/>
          <w:szCs w:val="32"/>
        </w:rPr>
      </w:pPr>
    </w:p>
    <w:p>
      <w:pPr>
        <w:adjustRightInd w:val="0"/>
        <w:snapToGrid w:val="0"/>
        <w:spacing w:line="590" w:lineRule="exact"/>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甲方：镇（街）农业农村办公室</w:t>
      </w:r>
    </w:p>
    <w:p>
      <w:pPr>
        <w:adjustRightInd w:val="0"/>
        <w:snapToGrid w:val="0"/>
        <w:spacing w:line="590" w:lineRule="exact"/>
        <w:rPr>
          <w:rFonts w:hint="eastAsia" w:ascii="仿宋" w:hAnsi="仿宋" w:eastAsia="仿宋" w:cs="仿宋"/>
          <w:color w:val="000000" w:themeColor="text1"/>
          <w:sz w:val="32"/>
          <w:szCs w:val="32"/>
          <w:u w:val="single"/>
        </w:rPr>
      </w:pPr>
      <w:r>
        <w:rPr>
          <w:rFonts w:hint="eastAsia" w:ascii="仿宋" w:hAnsi="仿宋" w:eastAsia="仿宋" w:cs="仿宋"/>
          <w:color w:val="000000" w:themeColor="text1"/>
          <w:sz w:val="32"/>
          <w:szCs w:val="32"/>
        </w:rPr>
        <w:t xml:space="preserve">乙方：村委会或示范单位（含参与示范户）   </w:t>
      </w:r>
    </w:p>
    <w:p>
      <w:pPr>
        <w:adjustRightInd w:val="0"/>
        <w:snapToGrid w:val="0"/>
        <w:spacing w:line="590" w:lineRule="exact"/>
        <w:rPr>
          <w:rFonts w:hint="eastAsia" w:ascii="仿宋" w:hAnsi="仿宋" w:eastAsia="仿宋" w:cs="仿宋"/>
          <w:color w:val="000000" w:themeColor="text1"/>
          <w:sz w:val="32"/>
          <w:szCs w:val="32"/>
        </w:rPr>
      </w:pPr>
    </w:p>
    <w:p>
      <w:pPr>
        <w:adjustRightInd w:val="0"/>
        <w:snapToGrid w:val="0"/>
        <w:spacing w:line="590" w:lineRule="exact"/>
        <w:ind w:firstLine="640" w:firstLineChars="20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为切实实施好冬种作物高产示范项目工作，按《2021年冬种作物高产示范项目实施方案》等要求，结合实际，经甲乙双方商议，协议如下：</w:t>
      </w:r>
    </w:p>
    <w:p>
      <w:pPr>
        <w:adjustRightInd w:val="0"/>
        <w:snapToGrid w:val="0"/>
        <w:spacing w:line="590" w:lineRule="exact"/>
        <w:ind w:firstLine="640" w:firstLineChars="200"/>
        <w:jc w:val="left"/>
        <w:rPr>
          <w:rFonts w:hint="eastAsia" w:ascii="仿宋" w:hAnsi="仿宋" w:eastAsia="仿宋" w:cs="仿宋"/>
          <w:b/>
          <w:color w:val="000000" w:themeColor="text1"/>
          <w:sz w:val="32"/>
          <w:szCs w:val="32"/>
        </w:rPr>
      </w:pPr>
      <w:r>
        <w:rPr>
          <w:rFonts w:hint="eastAsia" w:ascii="仿宋" w:hAnsi="仿宋" w:eastAsia="仿宋" w:cs="仿宋"/>
          <w:color w:val="000000" w:themeColor="text1"/>
          <w:sz w:val="32"/>
          <w:szCs w:val="32"/>
        </w:rPr>
        <w:t>一、示范面积与地块。乙方自愿参加冬种作物高产示范，将位于（土名）共亩的地块免田租进行2021年冬种作物高产示范（下称冬种示范），参与示范农户（详见2021年冬种作物高产示范项目登记清册）。</w:t>
      </w:r>
    </w:p>
    <w:p>
      <w:pPr>
        <w:adjustRightInd w:val="0"/>
        <w:snapToGrid w:val="0"/>
        <w:spacing w:line="590" w:lineRule="exact"/>
        <w:ind w:firstLine="640" w:firstLineChars="20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二、示范时间与期限。2021年晚稻收获至冬种示范收获周期结束，为期约4个半月（2021年10月下旬至2022年3月上旬）。旱地冬种油菜花示范可提前至9月开始实施。</w:t>
      </w:r>
    </w:p>
    <w:p>
      <w:pPr>
        <w:adjustRightInd w:val="0"/>
        <w:snapToGrid w:val="0"/>
        <w:spacing w:line="590" w:lineRule="exact"/>
        <w:ind w:firstLine="640" w:firstLineChars="20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三、实施方式。</w:t>
      </w:r>
    </w:p>
    <w:p>
      <w:pPr>
        <w:adjustRightInd w:val="0"/>
        <w:snapToGrid w:val="0"/>
        <w:spacing w:line="590" w:lineRule="exact"/>
        <w:ind w:firstLine="640" w:firstLineChars="20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（一）在冬种示范过程中，乙方同意由区农业农村局确定的中标供应商，按有关社会化服务事项指标，对乙方示范区域地块开展冬种示范全程化托种托管的社会化服务。</w:t>
      </w:r>
    </w:p>
    <w:p>
      <w:pPr>
        <w:adjustRightInd w:val="0"/>
        <w:snapToGrid w:val="0"/>
        <w:spacing w:line="590" w:lineRule="exact"/>
        <w:ind w:firstLine="640" w:firstLineChars="20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（二）乙方同意配合甲方和中标供应商推进冬种示范建设。</w:t>
      </w:r>
    </w:p>
    <w:p>
      <w:pPr>
        <w:adjustRightInd w:val="0"/>
        <w:snapToGrid w:val="0"/>
        <w:spacing w:line="590" w:lineRule="exact"/>
        <w:ind w:firstLine="640" w:firstLineChars="20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（三）甲方同意冬种示范的收获农产品归乙方所有。</w:t>
      </w:r>
    </w:p>
    <w:p>
      <w:pPr>
        <w:adjustRightInd w:val="0"/>
        <w:snapToGrid w:val="0"/>
        <w:spacing w:line="590" w:lineRule="exact"/>
        <w:ind w:firstLine="640" w:firstLineChars="20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（四）乙方同意负责彩色油菜花盛花期后的压青还田。</w:t>
      </w:r>
    </w:p>
    <w:p>
      <w:pPr>
        <w:adjustRightInd w:val="0"/>
        <w:snapToGrid w:val="0"/>
        <w:spacing w:line="590" w:lineRule="exact"/>
        <w:ind w:firstLine="640" w:firstLineChars="20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四、本协议自甲乙双方签字或盖章之日起生效。冬种示范期间因国家政策发生重大变化或调整导致不能执行本协议的，本协议自然终止或解除。</w:t>
      </w:r>
    </w:p>
    <w:p>
      <w:pPr>
        <w:adjustRightInd w:val="0"/>
        <w:snapToGrid w:val="0"/>
        <w:spacing w:line="590" w:lineRule="exact"/>
        <w:ind w:firstLine="640" w:firstLineChars="20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五、本协议一式六份，甲方、乙方各执</w:t>
      </w:r>
      <w:r>
        <w:rPr>
          <w:rFonts w:hint="eastAsia" w:ascii="仿宋" w:hAnsi="仿宋" w:eastAsia="仿宋" w:cs="仿宋"/>
          <w:color w:val="000000" w:themeColor="text1"/>
          <w:sz w:val="32"/>
          <w:szCs w:val="32"/>
          <w:u w:val="single"/>
        </w:rPr>
        <w:t>1</w:t>
      </w:r>
      <w:r>
        <w:rPr>
          <w:rFonts w:hint="eastAsia" w:ascii="仿宋" w:hAnsi="仿宋" w:eastAsia="仿宋" w:cs="仿宋"/>
          <w:color w:val="000000" w:themeColor="text1"/>
          <w:sz w:val="32"/>
          <w:szCs w:val="32"/>
        </w:rPr>
        <w:t>份，协议文本在本村、镇（街）、中标供应商和区农业农村局存档备查。</w:t>
      </w:r>
    </w:p>
    <w:p>
      <w:pPr>
        <w:adjustRightInd w:val="0"/>
        <w:snapToGrid w:val="0"/>
        <w:spacing w:line="590" w:lineRule="exact"/>
        <w:ind w:left="64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六、未尽事宜，甲乙双方协商解决。</w:t>
      </w:r>
    </w:p>
    <w:p>
      <w:pPr>
        <w:adjustRightInd w:val="0"/>
        <w:snapToGrid w:val="0"/>
        <w:spacing w:line="590" w:lineRule="exact"/>
        <w:rPr>
          <w:rFonts w:hint="eastAsia" w:ascii="仿宋" w:hAnsi="仿宋" w:eastAsia="仿宋" w:cs="仿宋"/>
          <w:color w:val="000000" w:themeColor="text1"/>
          <w:sz w:val="32"/>
          <w:szCs w:val="32"/>
        </w:rPr>
      </w:pPr>
    </w:p>
    <w:p>
      <w:pPr>
        <w:adjustRightInd w:val="0"/>
        <w:snapToGrid w:val="0"/>
        <w:spacing w:line="590" w:lineRule="exact"/>
        <w:rPr>
          <w:rFonts w:hint="eastAsia" w:ascii="仿宋" w:hAnsi="仿宋" w:eastAsia="仿宋" w:cs="仿宋"/>
          <w:color w:val="000000" w:themeColor="text1"/>
          <w:sz w:val="32"/>
          <w:szCs w:val="32"/>
        </w:rPr>
      </w:pPr>
    </w:p>
    <w:p>
      <w:pPr>
        <w:adjustRightInd w:val="0"/>
        <w:snapToGrid w:val="0"/>
        <w:spacing w:line="590" w:lineRule="exact"/>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甲方：（盖章）                 乙方：（盖章）</w:t>
      </w:r>
    </w:p>
    <w:p>
      <w:pPr>
        <w:adjustRightInd w:val="0"/>
        <w:snapToGrid w:val="0"/>
        <w:spacing w:line="590" w:lineRule="exact"/>
        <w:ind w:left="5120" w:hanging="5120" w:hangingChars="160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甲方主任签名：                乙方村主任</w:t>
      </w:r>
    </w:p>
    <w:p>
      <w:pPr>
        <w:adjustRightInd w:val="0"/>
        <w:snapToGrid w:val="0"/>
        <w:spacing w:line="590" w:lineRule="exact"/>
        <w:ind w:firstLine="4800" w:firstLineChars="150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或单位负责人签名：</w:t>
      </w:r>
    </w:p>
    <w:p>
      <w:pPr>
        <w:adjustRightInd w:val="0"/>
        <w:snapToGrid w:val="0"/>
        <w:spacing w:line="590" w:lineRule="exact"/>
        <w:rPr>
          <w:rFonts w:hint="eastAsia" w:ascii="仿宋" w:hAnsi="仿宋" w:eastAsia="仿宋" w:cs="仿宋"/>
          <w:color w:val="000000" w:themeColor="text1"/>
          <w:sz w:val="32"/>
          <w:szCs w:val="32"/>
        </w:rPr>
      </w:pPr>
    </w:p>
    <w:p>
      <w:pPr>
        <w:adjustRightInd w:val="0"/>
        <w:snapToGrid w:val="0"/>
        <w:spacing w:line="590" w:lineRule="exact"/>
        <w:rPr>
          <w:rFonts w:hint="eastAsia" w:ascii="仿宋" w:hAnsi="仿宋" w:eastAsia="仿宋" w:cs="仿宋"/>
          <w:color w:val="000000" w:themeColor="text1"/>
          <w:sz w:val="32"/>
          <w:szCs w:val="32"/>
        </w:rPr>
      </w:pPr>
    </w:p>
    <w:p>
      <w:pPr>
        <w:adjustRightInd w:val="0"/>
        <w:snapToGrid w:val="0"/>
        <w:spacing w:line="590" w:lineRule="exact"/>
        <w:rPr>
          <w:rFonts w:hint="eastAsia" w:ascii="仿宋" w:hAnsi="仿宋" w:eastAsia="仿宋" w:cs="仿宋"/>
          <w:color w:val="000000" w:themeColor="text1"/>
          <w:sz w:val="32"/>
          <w:szCs w:val="32"/>
        </w:rPr>
      </w:pPr>
    </w:p>
    <w:p>
      <w:pPr>
        <w:adjustRightInd w:val="0"/>
        <w:snapToGrid w:val="0"/>
        <w:spacing w:line="590" w:lineRule="exact"/>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日期：                        日期：</w:t>
      </w:r>
    </w:p>
    <w:p>
      <w:pPr>
        <w:widowControl/>
        <w:shd w:val="clear" w:color="auto" w:fill="FFFFFF"/>
        <w:spacing w:line="450" w:lineRule="atLeast"/>
        <w:jc w:val="left"/>
        <w:rPr>
          <w:rFonts w:ascii="微软雅黑" w:hAnsi="微软雅黑" w:eastAsia="微软雅黑" w:cs="宋体"/>
          <w:color w:val="000000" w:themeColor="text1"/>
          <w:kern w:val="0"/>
          <w:sz w:val="23"/>
          <w:szCs w:val="23"/>
        </w:rPr>
      </w:pPr>
    </w:p>
    <w:p>
      <w:pPr>
        <w:widowControl/>
        <w:ind w:firstLine="640" w:firstLineChars="200"/>
        <w:jc w:val="left"/>
        <w:rPr>
          <w:rFonts w:ascii="仿宋" w:hAnsi="仿宋" w:eastAsia="仿宋" w:cs="宋体"/>
          <w:color w:val="000000" w:themeColor="text1"/>
          <w:kern w:val="0"/>
          <w:sz w:val="32"/>
          <w:szCs w:val="32"/>
        </w:rPr>
      </w:pPr>
    </w:p>
    <w:p>
      <w:pPr>
        <w:jc w:val="left"/>
        <w:rPr>
          <w:rFonts w:ascii="仿宋" w:hAnsi="仿宋" w:eastAsia="仿宋"/>
          <w:color w:val="000000" w:themeColor="text1"/>
          <w:sz w:val="28"/>
          <w:szCs w:val="28"/>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spacing w:line="600" w:lineRule="exact"/>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公开方式：</w:t>
      </w:r>
      <w:r>
        <w:rPr>
          <w:rFonts w:hint="eastAsia" w:ascii="仿宋" w:hAnsi="仿宋" w:eastAsia="仿宋" w:cs="仿宋"/>
          <w:sz w:val="32"/>
          <w:szCs w:val="32"/>
          <w:lang w:val="en-US" w:eastAsia="zh-CN"/>
        </w:rPr>
        <w:t>主动公开</w:t>
      </w:r>
    </w:p>
    <w:p>
      <w:pPr>
        <w:pBdr>
          <w:bottom w:val="single" w:color="auto" w:sz="4" w:space="0"/>
        </w:pBdr>
        <w:spacing w:line="600" w:lineRule="exact"/>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160" w:firstLineChars="5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抄送：</w:t>
      </w:r>
      <w:r>
        <w:rPr>
          <w:rFonts w:hint="eastAsia" w:ascii="仿宋" w:hAnsi="仿宋" w:cs="仿宋"/>
          <w:sz w:val="32"/>
          <w:szCs w:val="32"/>
          <w:lang w:val="en-US" w:eastAsia="zh-CN"/>
        </w:rPr>
        <w:t>江门市农业农村局，</w:t>
      </w:r>
      <w:r>
        <w:rPr>
          <w:rFonts w:hint="eastAsia" w:ascii="仿宋" w:hAnsi="仿宋" w:eastAsia="仿宋" w:cs="仿宋"/>
          <w:sz w:val="32"/>
          <w:szCs w:val="32"/>
          <w:lang w:val="en-US" w:eastAsia="zh-CN"/>
        </w:rPr>
        <w:t>区财政局。</w:t>
      </w:r>
    </w:p>
    <w:p>
      <w:pPr>
        <w:pBdr>
          <w:top w:val="single" w:color="auto" w:sz="6" w:space="1"/>
          <w:bottom w:val="single" w:color="auto" w:sz="6" w:space="1"/>
        </w:pBdr>
        <w:spacing w:line="560" w:lineRule="exact"/>
        <w:ind w:firstLine="160" w:firstLineChars="50"/>
        <w:rPr>
          <w:rFonts w:ascii="仿宋" w:hAnsi="仿宋"/>
          <w:szCs w:val="32"/>
        </w:rPr>
      </w:pPr>
      <w:r>
        <w:rPr>
          <w:rFonts w:hint="eastAsia" w:ascii="仿宋" w:hAnsi="仿宋"/>
          <w:szCs w:val="32"/>
        </w:rPr>
        <w:t>江门市新会区农业农村局办公室      2021年</w:t>
      </w:r>
      <w:r>
        <w:rPr>
          <w:rFonts w:hint="eastAsia" w:ascii="仿宋" w:hAnsi="仿宋"/>
          <w:szCs w:val="32"/>
          <w:lang w:val="en-US" w:eastAsia="zh-CN"/>
        </w:rPr>
        <w:t>7</w:t>
      </w:r>
      <w:r>
        <w:rPr>
          <w:rFonts w:hint="eastAsia" w:ascii="仿宋" w:hAnsi="仿宋"/>
          <w:szCs w:val="32"/>
        </w:rPr>
        <w:t>月</w:t>
      </w:r>
      <w:r>
        <w:rPr>
          <w:rFonts w:hint="eastAsia" w:ascii="仿宋" w:hAnsi="仿宋"/>
          <w:szCs w:val="32"/>
          <w:lang w:val="en-US" w:eastAsia="zh-CN"/>
        </w:rPr>
        <w:t>6</w:t>
      </w:r>
      <w:r>
        <w:rPr>
          <w:rFonts w:hint="eastAsia" w:ascii="仿宋" w:hAnsi="仿宋"/>
          <w:szCs w:val="32"/>
        </w:rPr>
        <w:t>日印发</w:t>
      </w:r>
    </w:p>
    <w:sectPr>
      <w:headerReference r:id="rId6" w:type="default"/>
      <w:footerReference r:id="rId7" w:type="default"/>
      <w:footerReference r:id="rId8" w:type="even"/>
      <w:pgSz w:w="11906" w:h="16838"/>
      <w:pgMar w:top="1701" w:right="1588" w:bottom="1418" w:left="1588" w:header="851" w:footer="459" w:gutter="0"/>
      <w:pgNumType w:fmt="decimal"/>
      <w:cols w:space="425"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 w:name="方正仿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隶书">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2052" o:spid="_x0000_s2052"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7"/>
                  <w:rPr>
                    <w:rFonts w:hint="eastAsia" w:ascii="黑体" w:hAnsi="黑体" w:eastAsia="黑体" w:cs="黑体"/>
                    <w:sz w:val="28"/>
                    <w:szCs w:val="28"/>
                  </w:rPr>
                </w:pPr>
                <w:r>
                  <w:rPr>
                    <w:rFonts w:hint="eastAsia" w:ascii="黑体" w:hAnsi="黑体" w:eastAsia="黑体" w:cs="黑体"/>
                    <w:sz w:val="28"/>
                    <w:szCs w:val="28"/>
                  </w:rPr>
                  <w:t xml:space="preserve">— </w:t>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  \* MERGEFORMAT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rPr>
        <w:sz w:val="18"/>
      </w:rP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sz w:val="28"/>
                    <w:szCs w:val="28"/>
                  </w:rPr>
                  <w:t xml:space="preserve"> —</w:t>
                </w:r>
              </w:p>
            </w:txbxContent>
          </v:textbox>
        </v:shape>
      </w:pict>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2051" o:spid="_x0000_s2051"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14</w:t>
                </w:r>
                <w:r>
                  <w:rPr>
                    <w:sz w:val="28"/>
                    <w:szCs w:val="28"/>
                  </w:rPr>
                  <w:fldChar w:fldCharType="end"/>
                </w:r>
                <w:r>
                  <w:rPr>
                    <w:sz w:val="28"/>
                    <w:szCs w:val="28"/>
                  </w:rPr>
                  <w:t xml:space="preserve"> —</w:t>
                </w:r>
              </w:p>
            </w:txbxContent>
          </v:textbox>
        </v:shape>
      </w:pict>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EBE0AB"/>
    <w:multiLevelType w:val="singleLevel"/>
    <w:tmpl w:val="D0EBE0A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60"/>
  <w:drawingGridVerticalSpacing w:val="579"/>
  <w:displayHorizontalDrawingGridEvery w:val="0"/>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B41"/>
    <w:rsid w:val="0000454C"/>
    <w:rsid w:val="00015641"/>
    <w:rsid w:val="000169A0"/>
    <w:rsid w:val="00016DA1"/>
    <w:rsid w:val="00024431"/>
    <w:rsid w:val="00027AF7"/>
    <w:rsid w:val="000325D7"/>
    <w:rsid w:val="0003261F"/>
    <w:rsid w:val="00037357"/>
    <w:rsid w:val="000566D8"/>
    <w:rsid w:val="00060890"/>
    <w:rsid w:val="00064A47"/>
    <w:rsid w:val="000811F5"/>
    <w:rsid w:val="00086DE7"/>
    <w:rsid w:val="00091F8F"/>
    <w:rsid w:val="0009344D"/>
    <w:rsid w:val="00094DF4"/>
    <w:rsid w:val="00095A31"/>
    <w:rsid w:val="00096A2F"/>
    <w:rsid w:val="000B4430"/>
    <w:rsid w:val="000C00ED"/>
    <w:rsid w:val="000C4D3D"/>
    <w:rsid w:val="000D077D"/>
    <w:rsid w:val="000E5B6E"/>
    <w:rsid w:val="000E6FA5"/>
    <w:rsid w:val="000F16F8"/>
    <w:rsid w:val="000F1B41"/>
    <w:rsid w:val="000F23F7"/>
    <w:rsid w:val="000F2AB4"/>
    <w:rsid w:val="000F6A70"/>
    <w:rsid w:val="001021C2"/>
    <w:rsid w:val="00103867"/>
    <w:rsid w:val="00104C04"/>
    <w:rsid w:val="00106E10"/>
    <w:rsid w:val="00106FB6"/>
    <w:rsid w:val="00114A7F"/>
    <w:rsid w:val="001379FE"/>
    <w:rsid w:val="00142BA2"/>
    <w:rsid w:val="001508F3"/>
    <w:rsid w:val="001510F5"/>
    <w:rsid w:val="00156F68"/>
    <w:rsid w:val="00166A58"/>
    <w:rsid w:val="001772F3"/>
    <w:rsid w:val="001817F1"/>
    <w:rsid w:val="00181A2D"/>
    <w:rsid w:val="0018229D"/>
    <w:rsid w:val="0019493D"/>
    <w:rsid w:val="0019553B"/>
    <w:rsid w:val="001A36E5"/>
    <w:rsid w:val="001A4EEB"/>
    <w:rsid w:val="001B000D"/>
    <w:rsid w:val="001C08C6"/>
    <w:rsid w:val="001C0AF5"/>
    <w:rsid w:val="001D5AE2"/>
    <w:rsid w:val="001E289F"/>
    <w:rsid w:val="001E313A"/>
    <w:rsid w:val="0020568D"/>
    <w:rsid w:val="00213774"/>
    <w:rsid w:val="0022257C"/>
    <w:rsid w:val="002232AF"/>
    <w:rsid w:val="002342C4"/>
    <w:rsid w:val="00241B93"/>
    <w:rsid w:val="002446C0"/>
    <w:rsid w:val="002532EB"/>
    <w:rsid w:val="00254A05"/>
    <w:rsid w:val="00261F9B"/>
    <w:rsid w:val="00263473"/>
    <w:rsid w:val="002637FA"/>
    <w:rsid w:val="00271CDC"/>
    <w:rsid w:val="0028003D"/>
    <w:rsid w:val="00280CE5"/>
    <w:rsid w:val="00285640"/>
    <w:rsid w:val="002977F7"/>
    <w:rsid w:val="002A028B"/>
    <w:rsid w:val="002A342F"/>
    <w:rsid w:val="002B1569"/>
    <w:rsid w:val="002C0EB8"/>
    <w:rsid w:val="002C1D85"/>
    <w:rsid w:val="002C3437"/>
    <w:rsid w:val="002C4A49"/>
    <w:rsid w:val="002D2D7D"/>
    <w:rsid w:val="002D58BA"/>
    <w:rsid w:val="00307089"/>
    <w:rsid w:val="003173A6"/>
    <w:rsid w:val="00325F62"/>
    <w:rsid w:val="00327F27"/>
    <w:rsid w:val="003433FB"/>
    <w:rsid w:val="00345B67"/>
    <w:rsid w:val="003541DF"/>
    <w:rsid w:val="0036046B"/>
    <w:rsid w:val="003678D6"/>
    <w:rsid w:val="00372570"/>
    <w:rsid w:val="003976EE"/>
    <w:rsid w:val="003A1533"/>
    <w:rsid w:val="003A2189"/>
    <w:rsid w:val="003A28B2"/>
    <w:rsid w:val="003A68A2"/>
    <w:rsid w:val="003B021A"/>
    <w:rsid w:val="003C1190"/>
    <w:rsid w:val="003C485B"/>
    <w:rsid w:val="003C7337"/>
    <w:rsid w:val="003D1A13"/>
    <w:rsid w:val="003D6247"/>
    <w:rsid w:val="003E03DF"/>
    <w:rsid w:val="003E5842"/>
    <w:rsid w:val="003E5E3B"/>
    <w:rsid w:val="00403BC0"/>
    <w:rsid w:val="0040602F"/>
    <w:rsid w:val="00411B8B"/>
    <w:rsid w:val="00413902"/>
    <w:rsid w:val="00425E10"/>
    <w:rsid w:val="00430FBC"/>
    <w:rsid w:val="0043176A"/>
    <w:rsid w:val="00436216"/>
    <w:rsid w:val="00440AAF"/>
    <w:rsid w:val="00453C76"/>
    <w:rsid w:val="00454403"/>
    <w:rsid w:val="004549E2"/>
    <w:rsid w:val="004550C0"/>
    <w:rsid w:val="0045569D"/>
    <w:rsid w:val="00460B25"/>
    <w:rsid w:val="004650E3"/>
    <w:rsid w:val="00474782"/>
    <w:rsid w:val="004768BB"/>
    <w:rsid w:val="00476A55"/>
    <w:rsid w:val="00481B9B"/>
    <w:rsid w:val="00482FFE"/>
    <w:rsid w:val="00490593"/>
    <w:rsid w:val="004973CA"/>
    <w:rsid w:val="004A0018"/>
    <w:rsid w:val="004A5F92"/>
    <w:rsid w:val="004A7D08"/>
    <w:rsid w:val="004B59F0"/>
    <w:rsid w:val="004C2140"/>
    <w:rsid w:val="004C2436"/>
    <w:rsid w:val="004C6969"/>
    <w:rsid w:val="004D0BAD"/>
    <w:rsid w:val="004D2FA0"/>
    <w:rsid w:val="004E2635"/>
    <w:rsid w:val="004E6879"/>
    <w:rsid w:val="004E72BA"/>
    <w:rsid w:val="004F4D0A"/>
    <w:rsid w:val="004F5424"/>
    <w:rsid w:val="004F7F86"/>
    <w:rsid w:val="00500C10"/>
    <w:rsid w:val="005051DF"/>
    <w:rsid w:val="00526E4B"/>
    <w:rsid w:val="0053143F"/>
    <w:rsid w:val="00542A97"/>
    <w:rsid w:val="0054409C"/>
    <w:rsid w:val="00553772"/>
    <w:rsid w:val="0055380C"/>
    <w:rsid w:val="00557E93"/>
    <w:rsid w:val="00575A72"/>
    <w:rsid w:val="005838B1"/>
    <w:rsid w:val="005A43B3"/>
    <w:rsid w:val="005A54E4"/>
    <w:rsid w:val="005B0EF3"/>
    <w:rsid w:val="005B2C3C"/>
    <w:rsid w:val="005B6BB2"/>
    <w:rsid w:val="005D0BED"/>
    <w:rsid w:val="005E3107"/>
    <w:rsid w:val="005E58D4"/>
    <w:rsid w:val="005F53B2"/>
    <w:rsid w:val="00607F5B"/>
    <w:rsid w:val="0062633B"/>
    <w:rsid w:val="006437F9"/>
    <w:rsid w:val="00663D26"/>
    <w:rsid w:val="00664B44"/>
    <w:rsid w:val="0067018E"/>
    <w:rsid w:val="00673D6A"/>
    <w:rsid w:val="006849D0"/>
    <w:rsid w:val="00686861"/>
    <w:rsid w:val="00691CFD"/>
    <w:rsid w:val="006956FD"/>
    <w:rsid w:val="006979FF"/>
    <w:rsid w:val="006A17C5"/>
    <w:rsid w:val="006A1FE8"/>
    <w:rsid w:val="006A2419"/>
    <w:rsid w:val="006A26B3"/>
    <w:rsid w:val="006A4902"/>
    <w:rsid w:val="006B38F7"/>
    <w:rsid w:val="006B4D4C"/>
    <w:rsid w:val="006B51AB"/>
    <w:rsid w:val="006B6CFB"/>
    <w:rsid w:val="006C3029"/>
    <w:rsid w:val="006C5640"/>
    <w:rsid w:val="006D59B2"/>
    <w:rsid w:val="006D5B1F"/>
    <w:rsid w:val="006D5C61"/>
    <w:rsid w:val="006D65A3"/>
    <w:rsid w:val="006E1E22"/>
    <w:rsid w:val="006E325F"/>
    <w:rsid w:val="00720828"/>
    <w:rsid w:val="00723CA3"/>
    <w:rsid w:val="00726C62"/>
    <w:rsid w:val="00726E9A"/>
    <w:rsid w:val="00735C39"/>
    <w:rsid w:val="007379B4"/>
    <w:rsid w:val="007479C1"/>
    <w:rsid w:val="007543E6"/>
    <w:rsid w:val="00760ADF"/>
    <w:rsid w:val="007635BF"/>
    <w:rsid w:val="00773045"/>
    <w:rsid w:val="0077777E"/>
    <w:rsid w:val="00780BB9"/>
    <w:rsid w:val="00786B1D"/>
    <w:rsid w:val="00786D56"/>
    <w:rsid w:val="00791781"/>
    <w:rsid w:val="007929A2"/>
    <w:rsid w:val="007A0FEC"/>
    <w:rsid w:val="007A2FC6"/>
    <w:rsid w:val="007A5CFF"/>
    <w:rsid w:val="007A74B4"/>
    <w:rsid w:val="007B3B80"/>
    <w:rsid w:val="007C474D"/>
    <w:rsid w:val="007C6C43"/>
    <w:rsid w:val="007D3928"/>
    <w:rsid w:val="007D3B2B"/>
    <w:rsid w:val="007E0D86"/>
    <w:rsid w:val="007E1492"/>
    <w:rsid w:val="00801F4F"/>
    <w:rsid w:val="00813DB6"/>
    <w:rsid w:val="00813FE9"/>
    <w:rsid w:val="00825535"/>
    <w:rsid w:val="00825A9D"/>
    <w:rsid w:val="00832230"/>
    <w:rsid w:val="00861345"/>
    <w:rsid w:val="00865168"/>
    <w:rsid w:val="008676E9"/>
    <w:rsid w:val="00871838"/>
    <w:rsid w:val="008758B0"/>
    <w:rsid w:val="00875BF3"/>
    <w:rsid w:val="00890F54"/>
    <w:rsid w:val="0089391E"/>
    <w:rsid w:val="008A1EDD"/>
    <w:rsid w:val="008A7496"/>
    <w:rsid w:val="008B0008"/>
    <w:rsid w:val="008B70CA"/>
    <w:rsid w:val="008C0B15"/>
    <w:rsid w:val="008C3874"/>
    <w:rsid w:val="008C3F63"/>
    <w:rsid w:val="008E4976"/>
    <w:rsid w:val="008E5A99"/>
    <w:rsid w:val="008F04BF"/>
    <w:rsid w:val="008F0552"/>
    <w:rsid w:val="008F3D20"/>
    <w:rsid w:val="008F4328"/>
    <w:rsid w:val="008F5124"/>
    <w:rsid w:val="00913C1A"/>
    <w:rsid w:val="00916251"/>
    <w:rsid w:val="009244D2"/>
    <w:rsid w:val="009267EF"/>
    <w:rsid w:val="009312A6"/>
    <w:rsid w:val="00931B46"/>
    <w:rsid w:val="00946965"/>
    <w:rsid w:val="0094799A"/>
    <w:rsid w:val="00950F35"/>
    <w:rsid w:val="0095575B"/>
    <w:rsid w:val="00963536"/>
    <w:rsid w:val="00976E2C"/>
    <w:rsid w:val="009834FD"/>
    <w:rsid w:val="00984CEB"/>
    <w:rsid w:val="00986A08"/>
    <w:rsid w:val="00996174"/>
    <w:rsid w:val="009A404F"/>
    <w:rsid w:val="009D307E"/>
    <w:rsid w:val="009D58C8"/>
    <w:rsid w:val="009D666D"/>
    <w:rsid w:val="009E07ED"/>
    <w:rsid w:val="009E2824"/>
    <w:rsid w:val="009E49B2"/>
    <w:rsid w:val="009F4C31"/>
    <w:rsid w:val="00A00C88"/>
    <w:rsid w:val="00A05B06"/>
    <w:rsid w:val="00A142A7"/>
    <w:rsid w:val="00A23788"/>
    <w:rsid w:val="00A24D52"/>
    <w:rsid w:val="00A3468F"/>
    <w:rsid w:val="00A356D5"/>
    <w:rsid w:val="00A428AF"/>
    <w:rsid w:val="00A44037"/>
    <w:rsid w:val="00A53183"/>
    <w:rsid w:val="00A653BB"/>
    <w:rsid w:val="00A734A9"/>
    <w:rsid w:val="00A80426"/>
    <w:rsid w:val="00A842BD"/>
    <w:rsid w:val="00A93C65"/>
    <w:rsid w:val="00A968ED"/>
    <w:rsid w:val="00AB3D14"/>
    <w:rsid w:val="00AB6A94"/>
    <w:rsid w:val="00AC0E4F"/>
    <w:rsid w:val="00AD5469"/>
    <w:rsid w:val="00AE441A"/>
    <w:rsid w:val="00AF4FF6"/>
    <w:rsid w:val="00AF6CBC"/>
    <w:rsid w:val="00B05283"/>
    <w:rsid w:val="00B33DBF"/>
    <w:rsid w:val="00B51276"/>
    <w:rsid w:val="00B76DC8"/>
    <w:rsid w:val="00B81943"/>
    <w:rsid w:val="00B8251A"/>
    <w:rsid w:val="00B861FD"/>
    <w:rsid w:val="00B900A3"/>
    <w:rsid w:val="00BA055B"/>
    <w:rsid w:val="00BA4E34"/>
    <w:rsid w:val="00BA57D5"/>
    <w:rsid w:val="00BB1BB1"/>
    <w:rsid w:val="00BB1CE6"/>
    <w:rsid w:val="00BD50DE"/>
    <w:rsid w:val="00BD70FB"/>
    <w:rsid w:val="00BE09BB"/>
    <w:rsid w:val="00BF002A"/>
    <w:rsid w:val="00BF3A59"/>
    <w:rsid w:val="00C02C18"/>
    <w:rsid w:val="00C12F1A"/>
    <w:rsid w:val="00C3305C"/>
    <w:rsid w:val="00C439CB"/>
    <w:rsid w:val="00C709C3"/>
    <w:rsid w:val="00C7192A"/>
    <w:rsid w:val="00C72CC9"/>
    <w:rsid w:val="00C77CE5"/>
    <w:rsid w:val="00C80F63"/>
    <w:rsid w:val="00C81686"/>
    <w:rsid w:val="00C819F5"/>
    <w:rsid w:val="00C95E4C"/>
    <w:rsid w:val="00C96913"/>
    <w:rsid w:val="00C96A21"/>
    <w:rsid w:val="00C973ED"/>
    <w:rsid w:val="00CA3586"/>
    <w:rsid w:val="00CA41E1"/>
    <w:rsid w:val="00CA7C5E"/>
    <w:rsid w:val="00CB0E10"/>
    <w:rsid w:val="00CC231B"/>
    <w:rsid w:val="00CD0D31"/>
    <w:rsid w:val="00CD1DEB"/>
    <w:rsid w:val="00CD4535"/>
    <w:rsid w:val="00CD7220"/>
    <w:rsid w:val="00CE4978"/>
    <w:rsid w:val="00CE7ACF"/>
    <w:rsid w:val="00CF057F"/>
    <w:rsid w:val="00CF528E"/>
    <w:rsid w:val="00CF74ED"/>
    <w:rsid w:val="00D16CB7"/>
    <w:rsid w:val="00D218E1"/>
    <w:rsid w:val="00D24E37"/>
    <w:rsid w:val="00D33985"/>
    <w:rsid w:val="00D41CE6"/>
    <w:rsid w:val="00D56B4A"/>
    <w:rsid w:val="00D57B91"/>
    <w:rsid w:val="00D60356"/>
    <w:rsid w:val="00D60A75"/>
    <w:rsid w:val="00D64F6B"/>
    <w:rsid w:val="00D664F5"/>
    <w:rsid w:val="00D73151"/>
    <w:rsid w:val="00D97928"/>
    <w:rsid w:val="00DB067D"/>
    <w:rsid w:val="00DB26A4"/>
    <w:rsid w:val="00DC0C75"/>
    <w:rsid w:val="00DC5E34"/>
    <w:rsid w:val="00DD68ED"/>
    <w:rsid w:val="00DE2B5E"/>
    <w:rsid w:val="00DE3E36"/>
    <w:rsid w:val="00E03B56"/>
    <w:rsid w:val="00E0725E"/>
    <w:rsid w:val="00E107CD"/>
    <w:rsid w:val="00E12EC7"/>
    <w:rsid w:val="00E14F4C"/>
    <w:rsid w:val="00E1587A"/>
    <w:rsid w:val="00E24B91"/>
    <w:rsid w:val="00E307C9"/>
    <w:rsid w:val="00E413D1"/>
    <w:rsid w:val="00E4313B"/>
    <w:rsid w:val="00E43A60"/>
    <w:rsid w:val="00E44641"/>
    <w:rsid w:val="00E47A26"/>
    <w:rsid w:val="00E51C9A"/>
    <w:rsid w:val="00E51D06"/>
    <w:rsid w:val="00E529DC"/>
    <w:rsid w:val="00E56481"/>
    <w:rsid w:val="00E569A4"/>
    <w:rsid w:val="00E82812"/>
    <w:rsid w:val="00E90B4F"/>
    <w:rsid w:val="00E97544"/>
    <w:rsid w:val="00EA1A47"/>
    <w:rsid w:val="00EB0534"/>
    <w:rsid w:val="00EB20B2"/>
    <w:rsid w:val="00EB43B8"/>
    <w:rsid w:val="00EC5A37"/>
    <w:rsid w:val="00EC5B91"/>
    <w:rsid w:val="00ED6740"/>
    <w:rsid w:val="00EE460A"/>
    <w:rsid w:val="00F04673"/>
    <w:rsid w:val="00F04720"/>
    <w:rsid w:val="00F05EF3"/>
    <w:rsid w:val="00F07CF8"/>
    <w:rsid w:val="00F344BB"/>
    <w:rsid w:val="00F3749A"/>
    <w:rsid w:val="00F41890"/>
    <w:rsid w:val="00F4346F"/>
    <w:rsid w:val="00F5761C"/>
    <w:rsid w:val="00F659BA"/>
    <w:rsid w:val="00F66F37"/>
    <w:rsid w:val="00F80B10"/>
    <w:rsid w:val="00F81B5D"/>
    <w:rsid w:val="00F93DDE"/>
    <w:rsid w:val="00FA53CF"/>
    <w:rsid w:val="00FA6797"/>
    <w:rsid w:val="00FB0B32"/>
    <w:rsid w:val="00FB3D62"/>
    <w:rsid w:val="00FC40C7"/>
    <w:rsid w:val="00FC7F47"/>
    <w:rsid w:val="00FE4F12"/>
    <w:rsid w:val="00FE6B72"/>
    <w:rsid w:val="00FE7790"/>
    <w:rsid w:val="00FF0236"/>
    <w:rsid w:val="00FF2607"/>
    <w:rsid w:val="00FF594D"/>
    <w:rsid w:val="02BD43D3"/>
    <w:rsid w:val="04771702"/>
    <w:rsid w:val="12A25B4F"/>
    <w:rsid w:val="18793975"/>
    <w:rsid w:val="1B7C38DD"/>
    <w:rsid w:val="278F6D95"/>
    <w:rsid w:val="30171BAE"/>
    <w:rsid w:val="3103544C"/>
    <w:rsid w:val="32F76958"/>
    <w:rsid w:val="37BB546A"/>
    <w:rsid w:val="3A773122"/>
    <w:rsid w:val="48EB5FE6"/>
    <w:rsid w:val="49583AFD"/>
    <w:rsid w:val="4AA84CFC"/>
    <w:rsid w:val="5A4E4A4C"/>
    <w:rsid w:val="66F56B62"/>
    <w:rsid w:val="69106C3A"/>
    <w:rsid w:val="762443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 w:cs="Times New Roman"/>
      <w:kern w:val="2"/>
      <w:sz w:val="32"/>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0"/>
    <w:pPr>
      <w:jc w:val="left"/>
    </w:pPr>
    <w:rPr>
      <w:rFonts w:ascii="Calibri" w:hAnsi="Calibri" w:eastAsia="宋体"/>
      <w:sz w:val="21"/>
      <w:szCs w:val="24"/>
    </w:rPr>
  </w:style>
  <w:style w:type="paragraph" w:styleId="4">
    <w:name w:val="Body Text"/>
    <w:basedOn w:val="1"/>
    <w:link w:val="17"/>
    <w:qFormat/>
    <w:uiPriority w:val="0"/>
    <w:pPr>
      <w:spacing w:line="0" w:lineRule="atLeast"/>
    </w:pPr>
    <w:rPr>
      <w:rFonts w:eastAsia="小标宋"/>
      <w:sz w:val="44"/>
      <w:szCs w:val="32"/>
    </w:rPr>
  </w:style>
  <w:style w:type="paragraph" w:styleId="5">
    <w:name w:val="Body Text Indent"/>
    <w:basedOn w:val="1"/>
    <w:link w:val="20"/>
    <w:semiHidden/>
    <w:unhideWhenUsed/>
    <w:qFormat/>
    <w:uiPriority w:val="99"/>
    <w:pPr>
      <w:spacing w:after="120"/>
      <w:ind w:left="420" w:leftChars="200"/>
    </w:pPr>
  </w:style>
  <w:style w:type="paragraph" w:styleId="6">
    <w:name w:val="Date"/>
    <w:basedOn w:val="1"/>
    <w:next w:val="1"/>
    <w:link w:val="18"/>
    <w:semiHidden/>
    <w:unhideWhenUsed/>
    <w:qFormat/>
    <w:uiPriority w:val="99"/>
    <w:pPr>
      <w:ind w:left="100" w:leftChars="2500"/>
    </w:p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eastAsia="宋体" w:cs="宋体"/>
      <w:kern w:val="0"/>
      <w:sz w:val="24"/>
      <w:szCs w:val="24"/>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basedOn w:val="12"/>
    <w:unhideWhenUsed/>
    <w:qFormat/>
    <w:uiPriority w:val="99"/>
    <w:rPr>
      <w:color w:val="0000FF"/>
      <w:u w:val="single"/>
    </w:rPr>
  </w:style>
  <w:style w:type="character" w:customStyle="1" w:styleId="15">
    <w:name w:val="页眉 Char"/>
    <w:link w:val="8"/>
    <w:semiHidden/>
    <w:qFormat/>
    <w:uiPriority w:val="99"/>
    <w:rPr>
      <w:rFonts w:ascii="宋体" w:hAnsi="宋体" w:eastAsia="方正仿宋简体"/>
      <w:sz w:val="18"/>
      <w:szCs w:val="18"/>
    </w:rPr>
  </w:style>
  <w:style w:type="character" w:customStyle="1" w:styleId="16">
    <w:name w:val="页脚 Char"/>
    <w:link w:val="7"/>
    <w:qFormat/>
    <w:uiPriority w:val="99"/>
    <w:rPr>
      <w:rFonts w:ascii="宋体" w:hAnsi="宋体" w:eastAsia="方正仿宋简体"/>
      <w:sz w:val="18"/>
      <w:szCs w:val="18"/>
    </w:rPr>
  </w:style>
  <w:style w:type="character" w:customStyle="1" w:styleId="17">
    <w:name w:val="正文文本 Char"/>
    <w:link w:val="4"/>
    <w:qFormat/>
    <w:uiPriority w:val="0"/>
    <w:rPr>
      <w:rFonts w:ascii="宋体" w:hAnsi="宋体" w:eastAsia="小标宋" w:cs="Times New Roman"/>
      <w:sz w:val="44"/>
      <w:szCs w:val="32"/>
    </w:rPr>
  </w:style>
  <w:style w:type="character" w:customStyle="1" w:styleId="18">
    <w:name w:val="日期 Char"/>
    <w:basedOn w:val="12"/>
    <w:link w:val="6"/>
    <w:semiHidden/>
    <w:qFormat/>
    <w:uiPriority w:val="99"/>
    <w:rPr>
      <w:rFonts w:ascii="宋体" w:hAnsi="宋体" w:eastAsia="仿宋"/>
      <w:kern w:val="2"/>
      <w:sz w:val="32"/>
      <w:szCs w:val="22"/>
    </w:rPr>
  </w:style>
  <w:style w:type="character" w:customStyle="1" w:styleId="19">
    <w:name w:val="标题 1 Char"/>
    <w:basedOn w:val="12"/>
    <w:link w:val="2"/>
    <w:qFormat/>
    <w:uiPriority w:val="9"/>
    <w:rPr>
      <w:rFonts w:asciiTheme="minorHAnsi" w:hAnsiTheme="minorHAnsi" w:eastAsiaTheme="minorEastAsia" w:cstheme="minorBidi"/>
      <w:b/>
      <w:bCs/>
      <w:kern w:val="44"/>
      <w:sz w:val="44"/>
      <w:szCs w:val="44"/>
    </w:rPr>
  </w:style>
  <w:style w:type="character" w:customStyle="1" w:styleId="20">
    <w:name w:val="正文文本缩进 Char"/>
    <w:basedOn w:val="12"/>
    <w:link w:val="5"/>
    <w:semiHidden/>
    <w:qFormat/>
    <w:uiPriority w:val="99"/>
    <w:rPr>
      <w:rFonts w:ascii="宋体" w:hAnsi="宋体" w:eastAsia="仿宋"/>
      <w:kern w:val="2"/>
      <w:sz w:val="32"/>
      <w:szCs w:val="22"/>
    </w:rPr>
  </w:style>
  <w:style w:type="character" w:customStyle="1" w:styleId="21">
    <w:name w:val="批注文字 Char"/>
    <w:basedOn w:val="12"/>
    <w:link w:val="3"/>
    <w:qFormat/>
    <w:uiPriority w:val="0"/>
    <w:rPr>
      <w:kern w:val="2"/>
      <w:sz w:val="21"/>
      <w:szCs w:val="24"/>
    </w:rPr>
  </w:style>
  <w:style w:type="character" w:customStyle="1" w:styleId="22">
    <w:name w:val="批注文字 Char1"/>
    <w:basedOn w:val="12"/>
    <w:link w:val="3"/>
    <w:semiHidden/>
    <w:qFormat/>
    <w:uiPriority w:val="99"/>
    <w:rPr>
      <w:rFonts w:ascii="宋体" w:hAnsi="宋体" w:eastAsia="仿宋"/>
      <w:kern w:val="2"/>
      <w:sz w:val="32"/>
      <w:szCs w:val="22"/>
    </w:rPr>
  </w:style>
  <w:style w:type="character" w:customStyle="1" w:styleId="23">
    <w:name w:val="font21"/>
    <w:qFormat/>
    <w:uiPriority w:val="0"/>
    <w:rPr>
      <w:rFonts w:hint="eastAsia" w:ascii="宋体" w:hAnsi="宋体" w:eastAsia="宋体" w:cs="宋体"/>
      <w:color w:val="000000"/>
      <w:sz w:val="24"/>
      <w:szCs w:val="24"/>
      <w:u w:val="none"/>
    </w:rPr>
  </w:style>
  <w:style w:type="paragraph" w:customStyle="1" w:styleId="24">
    <w:name w:val="样式1"/>
    <w:basedOn w:val="8"/>
    <w:link w:val="26"/>
    <w:qFormat/>
    <w:uiPriority w:val="0"/>
    <w:pPr>
      <w:pBdr>
        <w:bottom w:val="none" w:color="auto" w:sz="0" w:space="0"/>
      </w:pBdr>
    </w:pPr>
  </w:style>
  <w:style w:type="paragraph" w:customStyle="1" w:styleId="25">
    <w:name w:val="样式2"/>
    <w:basedOn w:val="8"/>
    <w:link w:val="27"/>
    <w:qFormat/>
    <w:uiPriority w:val="0"/>
    <w:pPr>
      <w:pBdr>
        <w:bottom w:val="none" w:color="auto" w:sz="0" w:space="0"/>
      </w:pBdr>
    </w:pPr>
  </w:style>
  <w:style w:type="character" w:customStyle="1" w:styleId="26">
    <w:name w:val="样式1 Char"/>
    <w:basedOn w:val="15"/>
    <w:link w:val="24"/>
    <w:qFormat/>
    <w:uiPriority w:val="0"/>
    <w:rPr>
      <w:rFonts w:eastAsia="仿宋"/>
      <w:kern w:val="2"/>
    </w:rPr>
  </w:style>
  <w:style w:type="character" w:customStyle="1" w:styleId="27">
    <w:name w:val="样式2 Char"/>
    <w:basedOn w:val="15"/>
    <w:link w:val="25"/>
    <w:qFormat/>
    <w:uiPriority w:val="0"/>
    <w:rPr>
      <w:rFonts w:eastAsia="仿宋"/>
      <w:kern w:val="2"/>
    </w:rPr>
  </w:style>
  <w:style w:type="paragraph" w:customStyle="1" w:styleId="28">
    <w:name w:val="样式3"/>
    <w:basedOn w:val="8"/>
    <w:link w:val="29"/>
    <w:qFormat/>
    <w:uiPriority w:val="0"/>
    <w:pPr>
      <w:pBdr>
        <w:bottom w:val="none" w:color="auto" w:sz="0" w:space="0"/>
      </w:pBdr>
    </w:pPr>
  </w:style>
  <w:style w:type="character" w:customStyle="1" w:styleId="29">
    <w:name w:val="样式3 Char"/>
    <w:basedOn w:val="15"/>
    <w:link w:val="28"/>
    <w:qFormat/>
    <w:uiPriority w:val="0"/>
    <w:rPr>
      <w:rFonts w:eastAsia="仿宋"/>
      <w:kern w:val="2"/>
    </w:rPr>
  </w:style>
  <w:style w:type="paragraph" w:customStyle="1" w:styleId="30">
    <w:name w:val="正文首行缩进1"/>
    <w:basedOn w:val="4"/>
    <w:qFormat/>
    <w:uiPriority w:val="0"/>
    <w:pPr>
      <w:widowControl/>
      <w:adjustRightInd w:val="0"/>
      <w:snapToGrid w:val="0"/>
      <w:ind w:firstLine="420" w:firstLineChars="100"/>
      <w:jc w:val="left"/>
    </w:pPr>
    <w:rPr>
      <w:rFonts w:ascii="Times New Roman" w:hAnsi="Times New Roman"/>
      <w:kern w:val="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2" textRotate="1"/>
    <customShpInfo spid="_x0000_s2050" textRotate="1"/>
    <customShpInfo spid="_x0000_s2051" textRotate="1"/>
    <customShpInfo spid="_x0000_s1036"/>
    <customShpInfo spid="_x0000_s1035"/>
    <customShpInfo spid="_x0000_s103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C03982-47B1-41B9-A36D-E59475E8A9F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799</Words>
  <Characters>4559</Characters>
  <Lines>37</Lines>
  <Paragraphs>10</Paragraphs>
  <TotalTime>10</TotalTime>
  <ScaleCrop>false</ScaleCrop>
  <LinksUpToDate>false</LinksUpToDate>
  <CharactersWithSpaces>5348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2021-01-21T08:24:00Z</dcterms:created>
  <dc:creator>区农林局收发员</dc:creator>
  <cp:lastModifiedBy>区农业农村局收发员</cp:lastModifiedBy>
  <cp:lastPrinted>2021-07-05T07:16:00Z</cp:lastPrinted>
  <dcterms:modified xsi:type="dcterms:W3CDTF">2021-07-06T08:29:18Z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CFA5E0C173A84B6ABC2D70BABF140C70</vt:lpwstr>
  </property>
</Properties>
</file>