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AE" w:rsidRDefault="0006761E">
      <w:pPr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JBT2" o:spid="_x0000_s1026" type="#_x0000_t202" style="position:absolute;left:0;text-align:left;margin-left:352.95pt;margin-top:242.25pt;width:75.4pt;height:75.9pt;z-index:251659264;mso-position-vertical-relative:page" o:gfxdata="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D4sFLb&#10;AAAACwEAAA8AAAAAAAAAAQAgAAAAIgAAAGRycy9kb3ducmV2LnhtbFBLAQIUABQAAAAIAIdO4kAS&#10;WgnfqwEAAGsDAAAOAAAAAAAAAAEAIAAAACoBAABkcnMvZTJvRG9jLnhtbFBLBQYAAAAABgAGAFkB&#10;AABHBQAAAAA=&#10;" filled="f" stroked="f">
            <v:textbox style="mso-next-textbox:#WJBT2" inset="0,0,0,0">
              <w:txbxContent>
                <w:p w:rsidR="00EC48AE" w:rsidRPr="00B81930" w:rsidRDefault="009C0103"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spacing w:val="14"/>
                      <w:w w:val="64"/>
                      <w:sz w:val="100"/>
                      <w:szCs w:val="100"/>
                    </w:rPr>
                  </w:pPr>
                  <w:r w:rsidRPr="00B81930">
                    <w:rPr>
                      <w:rFonts w:ascii="方正小标宋简体" w:eastAsia="方正小标宋简体" w:hint="eastAsia"/>
                      <w:color w:val="FF0000"/>
                      <w:spacing w:val="14"/>
                      <w:w w:val="64"/>
                      <w:sz w:val="100"/>
                      <w:szCs w:val="100"/>
                    </w:rPr>
                    <w:t>文件</w:t>
                  </w:r>
                </w:p>
                <w:p w:rsidR="00EC48AE" w:rsidRDefault="00EC48AE">
                  <w:pPr>
                    <w:jc w:val="center"/>
                    <w:rPr>
                      <w:szCs w:val="48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EC48AE" w:rsidRDefault="00EC48AE">
      <w:pPr>
        <w:rPr>
          <w:rFonts w:ascii="黑体" w:eastAsia="黑体" w:hAnsi="黑体"/>
          <w:szCs w:val="32"/>
        </w:rPr>
      </w:pPr>
    </w:p>
    <w:p w:rsidR="00EC48AE" w:rsidRDefault="00EC48AE">
      <w:pPr>
        <w:rPr>
          <w:rFonts w:ascii="黑体" w:eastAsia="黑体" w:hAnsi="黑体"/>
          <w:szCs w:val="32"/>
        </w:rPr>
      </w:pPr>
    </w:p>
    <w:p w:rsidR="00EC48AE" w:rsidRDefault="00EC48AE">
      <w:pPr>
        <w:rPr>
          <w:rFonts w:ascii="黑体" w:eastAsia="黑体" w:hAnsi="黑体"/>
          <w:szCs w:val="32"/>
        </w:rPr>
      </w:pPr>
    </w:p>
    <w:p w:rsidR="00EC48AE" w:rsidRDefault="00EC48AE">
      <w:pPr>
        <w:rPr>
          <w:rFonts w:ascii="黑体" w:eastAsia="黑体" w:hAnsi="黑体"/>
          <w:szCs w:val="32"/>
        </w:rPr>
      </w:pPr>
    </w:p>
    <w:p w:rsidR="00EC48AE" w:rsidRDefault="00B81930">
      <w:pPr>
        <w:rPr>
          <w:rFonts w:ascii="黑体" w:eastAsia="黑体" w:hAnsi="黑体"/>
          <w:szCs w:val="32"/>
        </w:rPr>
      </w:pPr>
      <w:r>
        <w:rPr>
          <w:rFonts w:ascii="Times New Roman" w:eastAsia="黑体" w:hAnsi="Times New Roman"/>
          <w:noProof/>
          <w:szCs w:val="32"/>
        </w:rPr>
        <w:pict>
          <v:shape id="WJBT" o:spid="_x0000_s1031" type="#_x0000_t202" style="position:absolute;left:0;text-align:left;margin-left:21.65pt;margin-top:205.25pt;width:323.2pt;height:128.5pt;z-index:-251656192;mso-position-vertical-relative:page" filled="f" stroked="f">
            <v:textbox style="mso-next-textbox:#WJBT" inset="0,0,0,0">
              <w:txbxContent>
                <w:p w:rsidR="00B81930" w:rsidRPr="00852240" w:rsidRDefault="00B81930" w:rsidP="00B81930">
                  <w:pPr>
                    <w:spacing w:line="1300" w:lineRule="exact"/>
                    <w:jc w:val="distribute"/>
                    <w:rPr>
                      <w:rFonts w:ascii="方正小标宋简体" w:eastAsia="方正小标宋简体" w:hAnsi="Times New Roman"/>
                      <w:color w:val="FF0000"/>
                      <w:w w:val="56"/>
                      <w:sz w:val="100"/>
                      <w:szCs w:val="110"/>
                    </w:rPr>
                  </w:pPr>
                  <w:r w:rsidRPr="00852240">
                    <w:rPr>
                      <w:rFonts w:ascii="方正小标宋简体" w:eastAsia="方正小标宋简体" w:hAnsi="Times New Roman" w:hint="eastAsia"/>
                      <w:color w:val="FF0000"/>
                      <w:w w:val="56"/>
                      <w:sz w:val="100"/>
                      <w:szCs w:val="110"/>
                    </w:rPr>
                    <w:t>江门市新会区农业农村局</w:t>
                  </w:r>
                </w:p>
                <w:p w:rsidR="00B81930" w:rsidRPr="00852240" w:rsidRDefault="00B81930" w:rsidP="00B81930">
                  <w:pPr>
                    <w:spacing w:line="1300" w:lineRule="exact"/>
                    <w:jc w:val="distribute"/>
                    <w:rPr>
                      <w:rFonts w:ascii="方正小标宋简体" w:eastAsia="方正小标宋简体" w:hAnsi="Times New Roman"/>
                      <w:color w:val="FF0000"/>
                      <w:w w:val="56"/>
                      <w:sz w:val="100"/>
                      <w:szCs w:val="110"/>
                    </w:rPr>
                  </w:pPr>
                  <w:r>
                    <w:rPr>
                      <w:rFonts w:ascii="方正小标宋简体" w:eastAsia="方正小标宋简体" w:hAnsi="Times New Roman" w:hint="eastAsia"/>
                      <w:color w:val="FF0000"/>
                      <w:w w:val="56"/>
                      <w:sz w:val="100"/>
                      <w:szCs w:val="110"/>
                    </w:rPr>
                    <w:t>江门市新会区自然资源局</w:t>
                  </w:r>
                </w:p>
              </w:txbxContent>
            </v:textbox>
            <w10:wrap anchory="page"/>
          </v:shape>
        </w:pict>
      </w:r>
    </w:p>
    <w:p w:rsidR="00EC48AE" w:rsidRDefault="00EC48AE">
      <w:pPr>
        <w:rPr>
          <w:rFonts w:ascii="黑体" w:eastAsia="黑体" w:hAnsi="黑体"/>
          <w:szCs w:val="32"/>
        </w:rPr>
      </w:pPr>
    </w:p>
    <w:p w:rsidR="00EC48AE" w:rsidRDefault="00E95DB2" w:rsidP="00E95DB2">
      <w:pPr>
        <w:tabs>
          <w:tab w:val="left" w:pos="495"/>
        </w:tabs>
        <w:spacing w:line="2496" w:lineRule="exact"/>
        <w:rPr>
          <w:szCs w:val="32"/>
        </w:rPr>
      </w:pPr>
      <w:r>
        <w:rPr>
          <w:szCs w:val="32"/>
        </w:rPr>
        <w:tab/>
      </w:r>
    </w:p>
    <w:p w:rsidR="00EC48AE" w:rsidRDefault="00EC48AE">
      <w:pPr>
        <w:spacing w:line="360" w:lineRule="exact"/>
        <w:ind w:rightChars="100" w:right="320"/>
        <w:rPr>
          <w:szCs w:val="32"/>
        </w:rPr>
      </w:pPr>
    </w:p>
    <w:p w:rsidR="00EC48AE" w:rsidRDefault="00EC48AE">
      <w:pPr>
        <w:ind w:rightChars="100" w:right="320"/>
        <w:rPr>
          <w:szCs w:val="32"/>
        </w:rPr>
      </w:pPr>
    </w:p>
    <w:p w:rsidR="00EC48AE" w:rsidRDefault="009C0103">
      <w:pPr>
        <w:jc w:val="center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新农农〔</w:t>
      </w:r>
      <w:r>
        <w:rPr>
          <w:rFonts w:ascii="仿宋" w:hAnsi="仿宋"/>
          <w:szCs w:val="32"/>
        </w:rPr>
        <w:t>20</w:t>
      </w:r>
      <w:r>
        <w:rPr>
          <w:rFonts w:ascii="仿宋" w:hAnsi="仿宋" w:hint="eastAsia"/>
          <w:szCs w:val="32"/>
        </w:rPr>
        <w:t>21</w:t>
      </w:r>
      <w:r>
        <w:rPr>
          <w:rFonts w:ascii="仿宋" w:hAnsi="仿宋"/>
          <w:szCs w:val="32"/>
        </w:rPr>
        <w:t>〕</w:t>
      </w:r>
      <w:r w:rsidR="00733CF2">
        <w:rPr>
          <w:rFonts w:ascii="仿宋" w:hAnsi="仿宋" w:hint="eastAsia"/>
          <w:szCs w:val="32"/>
        </w:rPr>
        <w:t>2</w:t>
      </w:r>
      <w:r w:rsidR="004F03FD">
        <w:rPr>
          <w:rFonts w:ascii="仿宋" w:hAnsi="仿宋" w:hint="eastAsia"/>
          <w:szCs w:val="32"/>
        </w:rPr>
        <w:t>3</w:t>
      </w:r>
      <w:r>
        <w:rPr>
          <w:rFonts w:ascii="仿宋" w:hAnsi="仿宋"/>
          <w:szCs w:val="32"/>
        </w:rPr>
        <w:t>号</w:t>
      </w:r>
    </w:p>
    <w:p w:rsidR="00EC48AE" w:rsidRDefault="0006761E">
      <w:pPr>
        <w:rPr>
          <w:szCs w:val="32"/>
        </w:rPr>
      </w:pPr>
      <w:r>
        <w:rPr>
          <w:szCs w:val="32"/>
        </w:rPr>
        <w:pict>
          <v:shape id="GWXH" o:spid="_x0000_s1028" type="#_x0000_t202" style="position:absolute;left:0;text-align:left;margin-left:-.05pt;margin-top:104.9pt;width:63pt;height:22.7pt;z-index:251658240;mso-position-vertical-relative:page" o:gfxdata="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aSqOm1wAAAAkBAAAP&#10;AAAAAAAAAAEAIAAAACIAAABkcnMvZG93bnJldi54bWxQSwECFAAUAAAACACHTuJA6oDZfacBAABq&#10;AwAADgAAAAAAAAABACAAAAAmAQAAZHJzL2Uyb0RvYy54bWxQSwUGAAAAAAYABgBZAQAAPwUAAAAA&#10;" filled="f" stroked="f">
            <v:textbox inset="0,0,0,0">
              <w:txbxContent>
                <w:p w:rsidR="00EC48AE" w:rsidRDefault="00EC48AE">
                  <w:pPr>
                    <w:rPr>
                      <w:rFonts w:ascii="黑体" w:eastAsia="黑体" w:hAnsi="黑体"/>
                      <w:szCs w:val="32"/>
                    </w:rPr>
                  </w:pPr>
                </w:p>
              </w:txbxContent>
            </v:textbox>
            <w10:wrap anchory="page"/>
            <w10:anchorlock/>
          </v:shape>
        </w:pict>
      </w:r>
      <w:r>
        <w:rPr>
          <w:szCs w:val="32"/>
        </w:rPr>
        <w:pict>
          <v:line id="BTBX" o:spid="_x0000_s1027" style="position:absolute;left:0;text-align:left;z-index:251657216;mso-position-vertical-relative:page" from="-.05pt,425.25pt" to="442.15pt,425.25pt" o:gfxdata="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T9yrNcAAAAJAQAADwAA&#10;AAAAAAABACAAAAAiAAAAZHJzL2Rvd25yZXYueG1sUEsBAhQAFAAAAAgAh07iQL5Y0IXeAQAA2AMA&#10;AA4AAAAAAAAAAQAgAAAAJgEAAGRycy9lMm9Eb2MueG1sUEsFBgAAAAAGAAYAWQEAAHYFAAAAAA==&#10;" strokecolor="red" strokeweight="1.25pt">
            <w10:wrap anchory="page"/>
            <w10:anchorlock/>
          </v:line>
        </w:pict>
      </w:r>
    </w:p>
    <w:p w:rsidR="00EC48AE" w:rsidRDefault="00EC48AE">
      <w:pPr>
        <w:spacing w:line="240" w:lineRule="exact"/>
        <w:rPr>
          <w:szCs w:val="32"/>
        </w:rPr>
      </w:pPr>
    </w:p>
    <w:p w:rsidR="00733CF2" w:rsidRDefault="00733CF2" w:rsidP="00733CF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关于印发新会区防止耕地“非粮化”稳定粮食生产工作方案的通知</w:t>
      </w:r>
    </w:p>
    <w:p w:rsidR="00733CF2" w:rsidRDefault="00733CF2" w:rsidP="00733CF2">
      <w:pPr>
        <w:spacing w:line="520" w:lineRule="exact"/>
        <w:rPr>
          <w:rFonts w:ascii="仿宋" w:hAnsi="仿宋"/>
          <w:szCs w:val="32"/>
        </w:rPr>
      </w:pPr>
    </w:p>
    <w:p w:rsidR="00733CF2" w:rsidRDefault="00733CF2" w:rsidP="00733CF2">
      <w:pPr>
        <w:spacing w:line="520" w:lineRule="exac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各镇（街、区）政府（办事处、管委会），区有关单位：</w:t>
      </w:r>
    </w:p>
    <w:p w:rsidR="00733CF2" w:rsidRDefault="00733CF2" w:rsidP="00733CF2">
      <w:pPr>
        <w:spacing w:line="52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根据区府办《关于印发广东省防止耕地“非粮化”稳定粮食生产工作方案的通知》的文件处理呈批意见</w:t>
      </w:r>
      <w:r w:rsidRPr="00070DFB">
        <w:rPr>
          <w:rFonts w:ascii="仿宋" w:hAnsi="仿宋" w:hint="eastAsia"/>
          <w:szCs w:val="32"/>
        </w:rPr>
        <w:t>，经研究，</w:t>
      </w:r>
      <w:r>
        <w:rPr>
          <w:rFonts w:ascii="仿宋" w:hAnsi="仿宋" w:hint="eastAsia"/>
          <w:szCs w:val="32"/>
        </w:rPr>
        <w:t>现将</w:t>
      </w:r>
      <w:r>
        <w:rPr>
          <w:rFonts w:ascii="仿宋" w:hAnsi="仿宋"/>
          <w:szCs w:val="32"/>
        </w:rPr>
        <w:t>《</w:t>
      </w:r>
      <w:r>
        <w:rPr>
          <w:rFonts w:ascii="仿宋" w:hAnsi="仿宋" w:hint="eastAsia"/>
          <w:szCs w:val="32"/>
        </w:rPr>
        <w:t>新会区防止耕地“非粮化”稳定粮食生产工作方案</w:t>
      </w:r>
      <w:r>
        <w:rPr>
          <w:rFonts w:ascii="仿宋" w:hAnsi="仿宋"/>
          <w:szCs w:val="32"/>
        </w:rPr>
        <w:t>》印发</w:t>
      </w:r>
      <w:r>
        <w:rPr>
          <w:rFonts w:ascii="仿宋" w:hAnsi="仿宋" w:hint="eastAsia"/>
          <w:szCs w:val="32"/>
        </w:rPr>
        <w:t>给</w:t>
      </w:r>
      <w:r>
        <w:rPr>
          <w:rFonts w:ascii="仿宋" w:hAnsi="仿宋"/>
          <w:szCs w:val="32"/>
        </w:rPr>
        <w:t>你们</w:t>
      </w:r>
      <w:r>
        <w:rPr>
          <w:rFonts w:ascii="仿宋" w:hAnsi="仿宋" w:hint="eastAsia"/>
          <w:szCs w:val="32"/>
        </w:rPr>
        <w:t>，请</w:t>
      </w:r>
      <w:r>
        <w:rPr>
          <w:rFonts w:ascii="仿宋" w:hAnsi="仿宋"/>
          <w:szCs w:val="32"/>
        </w:rPr>
        <w:t>抓好落实。实施</w:t>
      </w:r>
      <w:r>
        <w:rPr>
          <w:rFonts w:ascii="仿宋" w:hAnsi="仿宋" w:hint="eastAsia"/>
          <w:szCs w:val="32"/>
        </w:rPr>
        <w:t>过程</w:t>
      </w:r>
      <w:r>
        <w:rPr>
          <w:rFonts w:ascii="仿宋" w:hAnsi="仿宋"/>
          <w:szCs w:val="32"/>
        </w:rPr>
        <w:t>中遇到的问题，请径向</w:t>
      </w:r>
      <w:r>
        <w:rPr>
          <w:rFonts w:ascii="仿宋" w:hAnsi="仿宋" w:hint="eastAsia"/>
          <w:szCs w:val="32"/>
        </w:rPr>
        <w:t>区</w:t>
      </w:r>
      <w:r>
        <w:rPr>
          <w:rFonts w:ascii="仿宋" w:hAnsi="仿宋"/>
          <w:szCs w:val="32"/>
        </w:rPr>
        <w:t>农业农村局、区</w:t>
      </w:r>
      <w:r>
        <w:rPr>
          <w:rFonts w:ascii="仿宋" w:hAnsi="仿宋" w:hint="eastAsia"/>
          <w:szCs w:val="32"/>
        </w:rPr>
        <w:t>自然</w:t>
      </w:r>
      <w:r>
        <w:rPr>
          <w:rFonts w:ascii="仿宋" w:hAnsi="仿宋"/>
          <w:szCs w:val="32"/>
        </w:rPr>
        <w:t>资源局</w:t>
      </w:r>
      <w:r>
        <w:rPr>
          <w:rFonts w:ascii="仿宋" w:hAnsi="仿宋" w:hint="eastAsia"/>
          <w:szCs w:val="32"/>
        </w:rPr>
        <w:t>反映。</w:t>
      </w:r>
    </w:p>
    <w:p w:rsidR="00210490" w:rsidRDefault="00210490" w:rsidP="00733CF2">
      <w:pPr>
        <w:spacing w:line="520" w:lineRule="exact"/>
        <w:rPr>
          <w:rFonts w:ascii="仿宋" w:hAnsi="仿宋"/>
          <w:szCs w:val="32"/>
        </w:rPr>
      </w:pPr>
    </w:p>
    <w:p w:rsidR="00EC48AE" w:rsidRPr="00733CF2" w:rsidRDefault="009C0103" w:rsidP="00733CF2">
      <w:pPr>
        <w:spacing w:line="520" w:lineRule="exact"/>
        <w:ind w:firstLineChars="100" w:firstLine="320"/>
        <w:rPr>
          <w:rFonts w:ascii="仿宋" w:hAnsi="仿宋"/>
        </w:rPr>
      </w:pPr>
      <w:r>
        <w:rPr>
          <w:rFonts w:ascii="仿宋" w:hAnsi="仿宋"/>
        </w:rPr>
        <w:t>江门市新会区农业农村局</w:t>
      </w:r>
      <w:r w:rsidR="00733CF2">
        <w:rPr>
          <w:rFonts w:ascii="仿宋" w:hAnsi="仿宋" w:hint="eastAsia"/>
        </w:rPr>
        <w:t xml:space="preserve">       </w:t>
      </w:r>
      <w:r>
        <w:rPr>
          <w:rFonts w:ascii="仿宋" w:hAnsi="仿宋"/>
        </w:rPr>
        <w:t>江门市新会区</w:t>
      </w:r>
      <w:r w:rsidR="00733CF2">
        <w:rPr>
          <w:rFonts w:ascii="仿宋" w:hAnsi="仿宋" w:hint="eastAsia"/>
        </w:rPr>
        <w:t>自然资源局</w:t>
      </w:r>
    </w:p>
    <w:p w:rsidR="00EC48AE" w:rsidRDefault="009C0103" w:rsidP="00733CF2">
      <w:pPr>
        <w:spacing w:line="520" w:lineRule="exact"/>
        <w:jc w:val="center"/>
        <w:rPr>
          <w:rFonts w:ascii="仿宋" w:hAnsi="仿宋"/>
        </w:rPr>
      </w:pPr>
      <w:r>
        <w:rPr>
          <w:rFonts w:ascii="仿宋" w:hAnsi="仿宋"/>
        </w:rPr>
        <w:t>20</w:t>
      </w:r>
      <w:r>
        <w:rPr>
          <w:rFonts w:ascii="仿宋" w:hAnsi="仿宋" w:hint="eastAsia"/>
        </w:rPr>
        <w:t>21</w:t>
      </w:r>
      <w:r>
        <w:rPr>
          <w:rFonts w:ascii="仿宋" w:hAnsi="仿宋"/>
        </w:rPr>
        <w:t>年</w:t>
      </w:r>
      <w:r w:rsidR="004E4B8C">
        <w:rPr>
          <w:rFonts w:ascii="仿宋" w:hAnsi="仿宋" w:hint="eastAsia"/>
        </w:rPr>
        <w:t>2</w:t>
      </w:r>
      <w:r>
        <w:rPr>
          <w:rFonts w:ascii="仿宋" w:hAnsi="仿宋"/>
        </w:rPr>
        <w:t>月</w:t>
      </w:r>
      <w:r w:rsidR="004F03FD">
        <w:rPr>
          <w:rFonts w:ascii="仿宋" w:hAnsi="仿宋" w:hint="eastAsia"/>
        </w:rPr>
        <w:t>18</w:t>
      </w:r>
      <w:r>
        <w:rPr>
          <w:rFonts w:ascii="仿宋" w:hAnsi="仿宋" w:hint="eastAsia"/>
        </w:rPr>
        <w:t>日</w:t>
      </w:r>
    </w:p>
    <w:p w:rsidR="00EC48AE" w:rsidRDefault="00EC48AE" w:rsidP="00733CF2">
      <w:pPr>
        <w:spacing w:line="520" w:lineRule="exact"/>
        <w:rPr>
          <w:rFonts w:ascii="仿宋" w:hAnsi="仿宋"/>
        </w:rPr>
      </w:pPr>
    </w:p>
    <w:p w:rsidR="00EC48AE" w:rsidRDefault="00EC48AE" w:rsidP="00733CF2">
      <w:pPr>
        <w:spacing w:line="520" w:lineRule="exact"/>
        <w:jc w:val="center"/>
        <w:rPr>
          <w:rFonts w:ascii="仿宋" w:hAnsi="仿宋"/>
          <w:sz w:val="44"/>
          <w:szCs w:val="44"/>
        </w:rPr>
      </w:pPr>
    </w:p>
    <w:p w:rsidR="00EC48AE" w:rsidRDefault="00733CF2" w:rsidP="00733CF2">
      <w:pPr>
        <w:spacing w:line="520" w:lineRule="exact"/>
        <w:jc w:val="center"/>
        <w:rPr>
          <w:rFonts w:ascii="仿宋" w:hAnsi="仿宋"/>
        </w:rPr>
      </w:pPr>
      <w:r>
        <w:rPr>
          <w:rFonts w:ascii="仿宋" w:hAnsi="仿宋" w:hint="eastAsia"/>
        </w:rPr>
        <w:t>区农业农村局</w:t>
      </w:r>
      <w:r w:rsidR="009C0103" w:rsidRPr="00210490">
        <w:rPr>
          <w:rFonts w:ascii="仿宋" w:hAnsi="仿宋" w:hint="eastAsia"/>
          <w:szCs w:val="32"/>
        </w:rPr>
        <w:t>联系人：</w:t>
      </w:r>
      <w:r>
        <w:rPr>
          <w:rFonts w:ascii="仿宋" w:hAnsi="仿宋" w:hint="eastAsia"/>
          <w:szCs w:val="32"/>
        </w:rPr>
        <w:t>梁建兴</w:t>
      </w:r>
      <w:r w:rsidR="009C0103" w:rsidRPr="00210490">
        <w:rPr>
          <w:rFonts w:ascii="仿宋" w:hAnsi="仿宋" w:hint="eastAsia"/>
          <w:szCs w:val="32"/>
        </w:rPr>
        <w:t>，联系电话：6</w:t>
      </w:r>
      <w:r>
        <w:rPr>
          <w:rFonts w:ascii="仿宋" w:hAnsi="仿宋" w:hint="eastAsia"/>
          <w:szCs w:val="32"/>
        </w:rPr>
        <w:t>373979</w:t>
      </w:r>
    </w:p>
    <w:p w:rsidR="00733CF2" w:rsidRPr="00210490" w:rsidRDefault="00733CF2" w:rsidP="00733CF2">
      <w:pPr>
        <w:spacing w:line="520" w:lineRule="exact"/>
        <w:jc w:val="center"/>
        <w:rPr>
          <w:rFonts w:ascii="仿宋" w:hAnsi="仿宋"/>
        </w:rPr>
      </w:pPr>
      <w:r>
        <w:rPr>
          <w:rFonts w:ascii="仿宋" w:hAnsi="仿宋" w:hint="eastAsia"/>
        </w:rPr>
        <w:t>区自然资源局联系人：</w:t>
      </w:r>
      <w:r w:rsidR="004F03FD">
        <w:rPr>
          <w:rFonts w:ascii="仿宋" w:hAnsi="仿宋" w:hint="eastAsia"/>
        </w:rPr>
        <w:t>鲁竞翔</w:t>
      </w:r>
      <w:r>
        <w:rPr>
          <w:rFonts w:ascii="仿宋" w:hAnsi="仿宋" w:hint="eastAsia"/>
        </w:rPr>
        <w:t>，联系电话：</w:t>
      </w:r>
      <w:r w:rsidR="004F03FD">
        <w:rPr>
          <w:rFonts w:ascii="仿宋" w:hAnsi="仿宋" w:hint="eastAsia"/>
        </w:rPr>
        <w:t>6322523</w:t>
      </w:r>
    </w:p>
    <w:p w:rsidR="00B276B2" w:rsidRDefault="00B276B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Pr="004F03FD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733CF2" w:rsidRDefault="00733CF2">
      <w:pPr>
        <w:spacing w:line="560" w:lineRule="exact"/>
        <w:rPr>
          <w:rFonts w:ascii="仿宋" w:hAnsi="仿宋"/>
        </w:rPr>
      </w:pPr>
    </w:p>
    <w:p w:rsidR="00B276B2" w:rsidRDefault="00B276B2" w:rsidP="00B276B2">
      <w:pPr>
        <w:spacing w:line="240" w:lineRule="exact"/>
        <w:rPr>
          <w:rFonts w:ascii="仿宋" w:hAnsi="仿宋"/>
        </w:rPr>
      </w:pPr>
    </w:p>
    <w:p w:rsidR="00B276B2" w:rsidRDefault="00B276B2" w:rsidP="00B276B2">
      <w:pPr>
        <w:spacing w:line="240" w:lineRule="exact"/>
        <w:rPr>
          <w:rFonts w:ascii="仿宋" w:hAnsi="仿宋"/>
        </w:rPr>
      </w:pPr>
    </w:p>
    <w:p w:rsidR="00B276B2" w:rsidRDefault="00B276B2" w:rsidP="00B276B2">
      <w:pPr>
        <w:spacing w:line="240" w:lineRule="exact"/>
        <w:rPr>
          <w:rFonts w:ascii="仿宋" w:hAnsi="仿宋"/>
        </w:rPr>
      </w:pPr>
    </w:p>
    <w:p w:rsidR="00B276B2" w:rsidRDefault="00B276B2" w:rsidP="00B276B2">
      <w:pPr>
        <w:spacing w:line="560" w:lineRule="exact"/>
        <w:rPr>
          <w:rFonts w:ascii="仿宋" w:hAnsi="仿宋"/>
        </w:rPr>
      </w:pPr>
      <w:r>
        <w:rPr>
          <w:rFonts w:ascii="仿宋" w:hAnsi="仿宋" w:hint="eastAsia"/>
          <w:b/>
        </w:rPr>
        <w:t>公开方式：</w:t>
      </w:r>
      <w:r>
        <w:rPr>
          <w:rFonts w:ascii="仿宋" w:hAnsi="仿宋" w:hint="eastAsia"/>
        </w:rPr>
        <w:t>主动公开</w:t>
      </w:r>
    </w:p>
    <w:p w:rsidR="00B276B2" w:rsidRDefault="00B276B2" w:rsidP="00B276B2">
      <w:pPr>
        <w:pBdr>
          <w:bottom w:val="single" w:sz="4" w:space="0" w:color="auto"/>
        </w:pBdr>
        <w:spacing w:line="560" w:lineRule="exact"/>
        <w:rPr>
          <w:rFonts w:ascii="仿宋" w:hAnsi="仿宋"/>
        </w:rPr>
      </w:pPr>
    </w:p>
    <w:p w:rsidR="00B276B2" w:rsidRDefault="00B276B2" w:rsidP="00B276B2">
      <w:pPr>
        <w:spacing w:line="560" w:lineRule="exact"/>
        <w:ind w:left="1120" w:hangingChars="350" w:hanging="1120"/>
        <w:rPr>
          <w:rFonts w:ascii="仿宋" w:hAnsi="仿宋"/>
        </w:rPr>
      </w:pPr>
      <w:r>
        <w:rPr>
          <w:rFonts w:ascii="仿宋" w:hAnsi="仿宋" w:hint="eastAsia"/>
        </w:rPr>
        <w:t xml:space="preserve"> 抄送：江门市农业农村局、江门市</w:t>
      </w:r>
      <w:r w:rsidR="00733CF2">
        <w:rPr>
          <w:rFonts w:ascii="仿宋" w:hAnsi="仿宋" w:hint="eastAsia"/>
        </w:rPr>
        <w:t>自然资源</w:t>
      </w:r>
      <w:r>
        <w:rPr>
          <w:rFonts w:ascii="仿宋" w:hAnsi="仿宋" w:hint="eastAsia"/>
        </w:rPr>
        <w:t>局，区人民政府。</w:t>
      </w:r>
    </w:p>
    <w:p w:rsidR="00B276B2" w:rsidRDefault="00B276B2" w:rsidP="00B276B2">
      <w:pPr>
        <w:pBdr>
          <w:top w:val="single" w:sz="6" w:space="1" w:color="auto"/>
          <w:bottom w:val="single" w:sz="6" w:space="1" w:color="auto"/>
        </w:pBdr>
        <w:spacing w:line="560" w:lineRule="exact"/>
        <w:ind w:firstLineChars="50" w:firstLine="160"/>
        <w:rPr>
          <w:rFonts w:ascii="仿宋" w:hAnsi="仿宋"/>
        </w:rPr>
      </w:pPr>
      <w:r>
        <w:rPr>
          <w:rFonts w:ascii="仿宋" w:hAnsi="仿宋" w:hint="eastAsia"/>
        </w:rPr>
        <w:t>江门市新会区农业农村局办公室      2021年</w:t>
      </w:r>
      <w:r w:rsidR="00733CF2">
        <w:rPr>
          <w:rFonts w:ascii="仿宋" w:hAnsi="仿宋" w:hint="eastAsia"/>
        </w:rPr>
        <w:t>2</w:t>
      </w:r>
      <w:r>
        <w:rPr>
          <w:rFonts w:ascii="仿宋" w:hAnsi="仿宋" w:hint="eastAsia"/>
        </w:rPr>
        <w:t>月</w:t>
      </w:r>
      <w:r w:rsidR="004F03FD">
        <w:rPr>
          <w:rFonts w:ascii="仿宋" w:hAnsi="仿宋" w:hint="eastAsia"/>
        </w:rPr>
        <w:t>19</w:t>
      </w:r>
      <w:r>
        <w:rPr>
          <w:rFonts w:ascii="仿宋" w:hAnsi="仿宋" w:hint="eastAsia"/>
        </w:rPr>
        <w:t>日印发</w:t>
      </w:r>
    </w:p>
    <w:p w:rsidR="00B276B2" w:rsidRDefault="00B276B2" w:rsidP="00B276B2">
      <w:pPr>
        <w:widowControl/>
        <w:jc w:val="left"/>
        <w:textAlignment w:val="center"/>
        <w:rPr>
          <w:rFonts w:ascii="仿宋" w:hAnsi="仿宋" w:cs="仿宋"/>
          <w:color w:val="000000"/>
          <w:kern w:val="0"/>
          <w:szCs w:val="32"/>
        </w:rPr>
        <w:sectPr w:rsidR="00B276B2" w:rsidSect="00B276B2">
          <w:pgSz w:w="11906" w:h="16838"/>
          <w:pgMar w:top="1701" w:right="1588" w:bottom="1276" w:left="1588" w:header="709" w:footer="709" w:gutter="0"/>
          <w:cols w:space="708"/>
          <w:docGrid w:linePitch="360"/>
        </w:sectPr>
      </w:pPr>
    </w:p>
    <w:p w:rsidR="00733CF2" w:rsidRDefault="00733CF2" w:rsidP="00733C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新会区防止耕地“非粮化”稳定粮食</w:t>
      </w:r>
    </w:p>
    <w:p w:rsidR="00733CF2" w:rsidRDefault="00733CF2" w:rsidP="00733C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生产工作方案</w:t>
      </w:r>
    </w:p>
    <w:p w:rsidR="00733CF2" w:rsidRDefault="00733CF2" w:rsidP="00733CF2">
      <w:pPr>
        <w:spacing w:line="560" w:lineRule="exact"/>
        <w:rPr>
          <w:rFonts w:ascii="仿宋" w:hAnsi="仿宋" w:cs="仿宋"/>
          <w:color w:val="000000"/>
          <w:szCs w:val="32"/>
        </w:rPr>
      </w:pP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为贯彻</w:t>
      </w:r>
      <w:r>
        <w:rPr>
          <w:rFonts w:ascii="仿宋" w:hAnsi="仿宋"/>
          <w:szCs w:val="32"/>
        </w:rPr>
        <w:t>落实</w:t>
      </w:r>
      <w:r>
        <w:rPr>
          <w:rFonts w:ascii="仿宋" w:hAnsi="仿宋" w:hint="eastAsia"/>
          <w:szCs w:val="32"/>
        </w:rPr>
        <w:t>广东省人民政府办公厅《关于印发广东省防止耕地“非粮化”稳定粮食生产工作方案的通知》（粤办函〔2021〕2号）</w:t>
      </w:r>
      <w:r>
        <w:rPr>
          <w:rFonts w:ascii="仿宋" w:hAnsi="仿宋"/>
          <w:szCs w:val="32"/>
        </w:rPr>
        <w:t>精神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为有效防止耕地“</w:t>
      </w:r>
      <w:r>
        <w:rPr>
          <w:rFonts w:ascii="仿宋" w:hAnsi="仿宋" w:hint="eastAsia"/>
          <w:szCs w:val="32"/>
        </w:rPr>
        <w:t>非粮化</w:t>
      </w:r>
      <w:r>
        <w:rPr>
          <w:rFonts w:ascii="仿宋" w:hAnsi="仿宋"/>
          <w:szCs w:val="32"/>
        </w:rPr>
        <w:t>”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稳定我</w:t>
      </w:r>
      <w:r>
        <w:rPr>
          <w:rFonts w:ascii="仿宋" w:hAnsi="仿宋" w:hint="eastAsia"/>
          <w:szCs w:val="32"/>
        </w:rPr>
        <w:t>区</w:t>
      </w:r>
      <w:r>
        <w:rPr>
          <w:rFonts w:ascii="仿宋" w:hAnsi="仿宋"/>
          <w:szCs w:val="32"/>
        </w:rPr>
        <w:t>粮食生产，切实保障粮食安全，结合我区实际，制定本工作方案</w:t>
      </w:r>
      <w:r>
        <w:rPr>
          <w:rFonts w:ascii="仿宋" w:hAnsi="仿宋" w:hint="eastAsia"/>
          <w:szCs w:val="32"/>
        </w:rPr>
        <w:t>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一、成立新会区防止耕地“非粮化”稳定粮食生产工作组（下称区工作组）。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组长：胡永桂（区农业农村局），副组长：刘洪斌（区自然资源局），成员：谭向阳（区农业农村局）、李耀龙（区自然资源局）、何文钊（区发展和改革局）、叶艳明（区财政局）、梁健维（区科工商务局）、余卫真（区水利局）。区农业农村局、自然资源局，抓好统筹协调和督促检查，各有关部门要对应（粤办函〔2021〕2号）的职责分工，完善相关政策措施，形成支持保障合力，共同推进有关工作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区工作组办公室设在区农业农村局，负责日常的综合协调工作。办公室主任由区农业农村局谭向阳同志兼任。工作组建立联络员制度，各成员单位相关业务股室和各镇（街）一名负责同志作为联络员，联系和协调日常工作。如有人事变动，由联络员及时报区工作组办公室调整。工作组不纳入区级议事协调机构管理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二、各镇（街）、村提高政治站位，压实属地责任，相应成立工作小组，认真贯彻，狠抓落实。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lastRenderedPageBreak/>
        <w:t>三、采取多形式多渠道，强化宣传，将有关政策和文件精神传达到每家每户，共同推进，引导和鼓励广大种植者依法种植，积极开展粮食生产。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四、新一届村、组发挥政策的执行力，党员、干部切实做好表率和带头作用。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五、加强日常巡查，</w:t>
      </w:r>
      <w:r w:rsidRPr="00F8212C">
        <w:rPr>
          <w:rFonts w:ascii="仿宋" w:hAnsi="仿宋"/>
          <w:szCs w:val="32"/>
        </w:rPr>
        <w:t>农业农村部门</w:t>
      </w:r>
      <w:bookmarkStart w:id="0" w:name="_GoBack"/>
      <w:r w:rsidRPr="00F8212C">
        <w:rPr>
          <w:rFonts w:ascii="仿宋" w:hAnsi="仿宋"/>
          <w:szCs w:val="32"/>
        </w:rPr>
        <w:t>和</w:t>
      </w:r>
      <w:bookmarkEnd w:id="0"/>
      <w:r w:rsidRPr="00F8212C">
        <w:rPr>
          <w:rFonts w:ascii="仿宋" w:hAnsi="仿宋" w:hint="eastAsia"/>
          <w:szCs w:val="32"/>
        </w:rPr>
        <w:t>自然资源</w:t>
      </w:r>
      <w:r w:rsidRPr="00F8212C">
        <w:rPr>
          <w:rFonts w:ascii="仿宋" w:hAnsi="仿宋"/>
          <w:szCs w:val="32"/>
        </w:rPr>
        <w:t>部门各</w:t>
      </w:r>
      <w:r w:rsidRPr="00F8212C">
        <w:rPr>
          <w:rFonts w:ascii="仿宋" w:hAnsi="仿宋" w:hint="eastAsia"/>
          <w:szCs w:val="32"/>
        </w:rPr>
        <w:t>负其责，</w:t>
      </w:r>
      <w:r w:rsidRPr="00F8212C">
        <w:rPr>
          <w:rFonts w:ascii="仿宋" w:hAnsi="仿宋"/>
          <w:szCs w:val="32"/>
        </w:rPr>
        <w:t>强化监管</w:t>
      </w:r>
      <w:r>
        <w:rPr>
          <w:rFonts w:ascii="仿宋" w:hAnsi="仿宋" w:hint="eastAsia"/>
          <w:szCs w:val="32"/>
        </w:rPr>
        <w:t>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六、各镇（街）、村、组于春节后，迅速对涉嫌占用永久基本农田从事挖塘养鱼、种植林果业、苗木、草皮等用地绿化装饰植物等破坏耕作层的行为，以及涉嫌闲置、荒芜永久基本农田等涉嫌“非粮化”类型开展自查自纠，建立台帐（见附件1）。各镇（街）工作小组由2月起，于每月25日前将本辖区的工作情况（见附件2）报送区工作组办公室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七、加强通报机制，区工作组不定期向各镇（街）和有关部门通报我区防止耕地“非粮化”稳定粮食生产工作的好经验、好做法和存在问题。</w:t>
      </w:r>
    </w:p>
    <w:p w:rsidR="00733CF2" w:rsidRDefault="00733CF2" w:rsidP="00733CF2">
      <w:pPr>
        <w:spacing w:line="560" w:lineRule="exact"/>
        <w:ind w:firstLineChars="200" w:firstLine="640"/>
        <w:rPr>
          <w:rFonts w:ascii="仿宋" w:hAnsi="仿宋"/>
          <w:szCs w:val="32"/>
        </w:rPr>
      </w:pPr>
    </w:p>
    <w:p w:rsidR="00733CF2" w:rsidRDefault="00733CF2" w:rsidP="00733CF2">
      <w:pPr>
        <w:spacing w:line="560" w:lineRule="exact"/>
        <w:ind w:leftChars="200" w:left="1920" w:hangingChars="400" w:hanging="1280"/>
        <w:rPr>
          <w:rFonts w:ascii="仿宋" w:hAnsi="仿宋"/>
          <w:szCs w:val="32"/>
        </w:rPr>
      </w:pPr>
      <w:r>
        <w:rPr>
          <w:rFonts w:ascii="仿宋" w:hAnsi="仿宋" w:cs="仿宋" w:hint="eastAsia"/>
          <w:szCs w:val="32"/>
        </w:rPr>
        <w:t>附件：1.新会区防止耕地“非粮化”稳定粮食生产工作自查自纠台账</w:t>
      </w:r>
    </w:p>
    <w:p w:rsidR="00733CF2" w:rsidRDefault="00733CF2" w:rsidP="00733CF2">
      <w:pPr>
        <w:spacing w:line="560" w:lineRule="exact"/>
        <w:ind w:leftChars="500" w:left="1920" w:hangingChars="100" w:hanging="320"/>
        <w:rPr>
          <w:rFonts w:ascii="仿宋" w:hAnsi="仿宋"/>
          <w:szCs w:val="32"/>
        </w:rPr>
      </w:pPr>
      <w:r>
        <w:rPr>
          <w:rFonts w:ascii="仿宋" w:hAnsi="仿宋" w:cs="仿宋"/>
          <w:szCs w:val="32"/>
        </w:rPr>
        <w:t>2.</w:t>
      </w:r>
      <w:r>
        <w:rPr>
          <w:rFonts w:ascii="仿宋" w:hAnsi="仿宋" w:cs="仿宋" w:hint="eastAsia"/>
          <w:szCs w:val="32"/>
        </w:rPr>
        <w:t>新会区防止耕地“非粮化”稳定粮食生产工作情况表</w:t>
      </w:r>
    </w:p>
    <w:p w:rsidR="00733CF2" w:rsidRPr="00733CF2" w:rsidRDefault="00733CF2" w:rsidP="00733CF2">
      <w:pPr>
        <w:spacing w:line="560" w:lineRule="exact"/>
        <w:ind w:leftChars="500" w:left="1920" w:hangingChars="100" w:hanging="320"/>
        <w:rPr>
          <w:rFonts w:ascii="仿宋" w:hAnsi="仿宋"/>
          <w:szCs w:val="32"/>
        </w:rPr>
      </w:pPr>
      <w:r>
        <w:rPr>
          <w:rFonts w:ascii="仿宋" w:hAnsi="仿宋" w:cs="仿宋"/>
          <w:szCs w:val="32"/>
        </w:rPr>
        <w:t>3</w:t>
      </w:r>
      <w:r>
        <w:rPr>
          <w:rFonts w:ascii="仿宋" w:hAnsi="仿宋" w:cs="仿宋" w:hint="eastAsia"/>
          <w:szCs w:val="32"/>
        </w:rPr>
        <w:t>.《关于印发广东省防止耕地“非粮化”稳定粮食生产工作方案的通知》（粤办函〔2021〕2号）</w:t>
      </w:r>
    </w:p>
    <w:p w:rsidR="00733CF2" w:rsidRDefault="00733CF2" w:rsidP="00733CF2">
      <w:pPr>
        <w:rPr>
          <w:rFonts w:ascii="仿宋_GB2312" w:eastAsia="仿宋_GB2312"/>
          <w:szCs w:val="32"/>
        </w:rPr>
      </w:pPr>
    </w:p>
    <w:p w:rsidR="00733CF2" w:rsidRDefault="00733CF2" w:rsidP="00733CF2">
      <w:pPr>
        <w:spacing w:line="560" w:lineRule="exact"/>
        <w:rPr>
          <w:rFonts w:ascii="仿宋" w:hAnsi="仿宋" w:cs="仿宋"/>
          <w:color w:val="000000"/>
          <w:szCs w:val="32"/>
        </w:rPr>
        <w:sectPr w:rsidR="00733CF2">
          <w:footerReference w:type="default" r:id="rId8"/>
          <w:headerReference w:type="first" r:id="rId9"/>
          <w:footerReference w:type="first" r:id="rId10"/>
          <w:pgSz w:w="11906" w:h="16838"/>
          <w:pgMar w:top="1701" w:right="1588" w:bottom="1418" w:left="1588" w:header="709" w:footer="0" w:gutter="0"/>
          <w:cols w:space="708"/>
          <w:titlePg/>
          <w:docGrid w:linePitch="360"/>
        </w:sectPr>
      </w:pPr>
    </w:p>
    <w:p w:rsidR="00733CF2" w:rsidRDefault="00733CF2" w:rsidP="00733CF2">
      <w:pPr>
        <w:spacing w:line="560" w:lineRule="exact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lastRenderedPageBreak/>
        <w:t>附件1</w:t>
      </w:r>
    </w:p>
    <w:p w:rsidR="00733CF2" w:rsidRDefault="00733CF2" w:rsidP="00733CF2">
      <w:pPr>
        <w:spacing w:line="560" w:lineRule="exact"/>
        <w:jc w:val="center"/>
        <w:rPr>
          <w:rFonts w:asciiTheme="minorEastAsia" w:eastAsiaTheme="minorEastAsia" w:hAnsiTheme="minorEastAsia" w:cstheme="minorEastAsia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新会区防止耕地“非粮化”稳定粮食生产工作自查自纠台账</w:t>
      </w:r>
    </w:p>
    <w:tbl>
      <w:tblPr>
        <w:tblStyle w:val="a8"/>
        <w:tblpPr w:leftFromText="180" w:rightFromText="180" w:vertAnchor="text" w:horzAnchor="page" w:tblpX="893" w:tblpY="374"/>
        <w:tblOverlap w:val="never"/>
        <w:tblW w:w="14679" w:type="dxa"/>
        <w:tblLook w:val="04A0"/>
      </w:tblPr>
      <w:tblGrid>
        <w:gridCol w:w="792"/>
        <w:gridCol w:w="904"/>
        <w:gridCol w:w="798"/>
        <w:gridCol w:w="1517"/>
        <w:gridCol w:w="1398"/>
        <w:gridCol w:w="1375"/>
        <w:gridCol w:w="2598"/>
        <w:gridCol w:w="1217"/>
        <w:gridCol w:w="1405"/>
        <w:gridCol w:w="1295"/>
        <w:gridCol w:w="1380"/>
      </w:tblGrid>
      <w:tr w:rsidR="00733CF2" w:rsidTr="00232244">
        <w:trPr>
          <w:trHeight w:val="1176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镇别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村别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种植者名称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土名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涉嫌“非粮化”类型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用地合同起止时间   （年/月起至年/月止）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涉及面积（亩）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整改时间          （年/月）</w:t>
            </w: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备注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</w:tr>
      <w:tr w:rsidR="00733CF2" w:rsidTr="00232244">
        <w:trPr>
          <w:trHeight w:val="474"/>
        </w:trPr>
        <w:tc>
          <w:tcPr>
            <w:tcW w:w="792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  <w:r w:rsidRPr="00733CF2">
              <w:rPr>
                <w:rFonts w:ascii="仿宋" w:hAnsi="仿宋" w:cstheme="minorEastAsia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0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theme="minorEastAsia"/>
                <w:kern w:val="0"/>
                <w:sz w:val="28"/>
                <w:szCs w:val="28"/>
              </w:rPr>
            </w:pPr>
          </w:p>
        </w:tc>
      </w:tr>
    </w:tbl>
    <w:p w:rsidR="00733CF2" w:rsidRPr="00733CF2" w:rsidRDefault="00733CF2" w:rsidP="00733CF2">
      <w:pPr>
        <w:spacing w:line="400" w:lineRule="exact"/>
        <w:rPr>
          <w:rFonts w:ascii="仿宋" w:hAnsi="仿宋" w:cs="仿宋"/>
          <w:color w:val="FF0000"/>
          <w:sz w:val="28"/>
          <w:szCs w:val="28"/>
        </w:rPr>
      </w:pPr>
      <w:r w:rsidRPr="00733CF2">
        <w:rPr>
          <w:rFonts w:ascii="仿宋" w:hAnsi="仿宋" w:cs="仿宋" w:hint="eastAsia"/>
          <w:color w:val="000000"/>
          <w:sz w:val="28"/>
          <w:szCs w:val="28"/>
        </w:rPr>
        <w:t>注：涉嫌“非粮化”类型选填涉嫌占用永久基本农田从事挖塘养鱼、种植林果业、苗木</w:t>
      </w:r>
      <w:r w:rsidRPr="00733CF2">
        <w:rPr>
          <w:rFonts w:ascii="仿宋" w:hAnsi="仿宋" w:cs="仿宋"/>
          <w:color w:val="000000"/>
          <w:sz w:val="28"/>
          <w:szCs w:val="28"/>
        </w:rPr>
        <w:t>、草皮等用地绿化装饰植物</w:t>
      </w:r>
      <w:r w:rsidRPr="00733CF2">
        <w:rPr>
          <w:rFonts w:ascii="仿宋" w:hAnsi="仿宋" w:cs="仿宋" w:hint="eastAsia"/>
          <w:color w:val="000000"/>
          <w:sz w:val="28"/>
          <w:szCs w:val="28"/>
        </w:rPr>
        <w:t>等破坏耕作层的行为，涉嫌闲置、荒芜永久基本农田。</w:t>
      </w:r>
    </w:p>
    <w:p w:rsidR="00733CF2" w:rsidRDefault="00733CF2" w:rsidP="00733CF2">
      <w:pPr>
        <w:spacing w:line="400" w:lineRule="exact"/>
        <w:rPr>
          <w:rFonts w:ascii="仿宋" w:hAnsi="仿宋" w:cs="仿宋"/>
          <w:szCs w:val="32"/>
        </w:rPr>
        <w:sectPr w:rsidR="00733CF2" w:rsidSect="00733CF2">
          <w:pgSz w:w="16838" w:h="11906" w:orient="landscape"/>
          <w:pgMar w:top="1418" w:right="1418" w:bottom="1418" w:left="1418" w:header="709" w:footer="0" w:gutter="0"/>
          <w:cols w:space="0"/>
          <w:titlePg/>
          <w:docGrid w:linePitch="360"/>
        </w:sectPr>
      </w:pPr>
    </w:p>
    <w:p w:rsidR="00733CF2" w:rsidRDefault="00733CF2" w:rsidP="00733CF2">
      <w:pPr>
        <w:spacing w:line="400" w:lineRule="exact"/>
        <w:rPr>
          <w:rFonts w:ascii="仿宋" w:hAnsi="仿宋" w:cs="仿宋"/>
          <w:color w:val="FF0000"/>
          <w:szCs w:val="32"/>
        </w:rPr>
      </w:pPr>
      <w:r>
        <w:rPr>
          <w:rFonts w:ascii="仿宋" w:hAnsi="仿宋" w:cs="仿宋" w:hint="eastAsia"/>
          <w:szCs w:val="32"/>
        </w:rPr>
        <w:lastRenderedPageBreak/>
        <w:t>附件2</w:t>
      </w:r>
    </w:p>
    <w:p w:rsidR="00733CF2" w:rsidRDefault="00733CF2" w:rsidP="00733C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新会区防止耕地“非粮化”稳定粮食生产工作情况表</w:t>
      </w:r>
    </w:p>
    <w:p w:rsidR="00733CF2" w:rsidRDefault="00733CF2" w:rsidP="00733CF2">
      <w:pPr>
        <w:spacing w:line="560" w:lineRule="exact"/>
        <w:rPr>
          <w:rFonts w:ascii="仿宋" w:hAnsi="仿宋" w:cs="仿宋"/>
          <w:szCs w:val="32"/>
        </w:rPr>
      </w:pPr>
    </w:p>
    <w:p w:rsidR="00733CF2" w:rsidRDefault="00733CF2" w:rsidP="00733CF2">
      <w:pPr>
        <w:spacing w:line="560" w:lineRule="exac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 xml:space="preserve">填报镇（街）（盖章）：                   </w:t>
      </w:r>
    </w:p>
    <w:tbl>
      <w:tblPr>
        <w:tblStyle w:val="a8"/>
        <w:tblW w:w="14885" w:type="dxa"/>
        <w:tblInd w:w="-318" w:type="dxa"/>
        <w:tblLayout w:type="fixed"/>
        <w:tblLook w:val="04A0"/>
      </w:tblPr>
      <w:tblGrid>
        <w:gridCol w:w="2328"/>
        <w:gridCol w:w="2126"/>
        <w:gridCol w:w="1784"/>
        <w:gridCol w:w="2558"/>
        <w:gridCol w:w="1183"/>
        <w:gridCol w:w="1220"/>
        <w:gridCol w:w="1276"/>
        <w:gridCol w:w="2410"/>
      </w:tblGrid>
      <w:tr w:rsidR="00733CF2" w:rsidTr="00733CF2">
        <w:trPr>
          <w:trHeight w:val="595"/>
        </w:trPr>
        <w:tc>
          <w:tcPr>
            <w:tcW w:w="2328" w:type="dxa"/>
            <w:vMerge w:val="restart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主要推进情况</w:t>
            </w:r>
          </w:p>
        </w:tc>
        <w:tc>
          <w:tcPr>
            <w:tcW w:w="2126" w:type="dxa"/>
            <w:vMerge w:val="restart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成立工作小组情况</w:t>
            </w:r>
          </w:p>
        </w:tc>
        <w:tc>
          <w:tcPr>
            <w:tcW w:w="1784" w:type="dxa"/>
            <w:vMerge w:val="restart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宣传情况</w:t>
            </w:r>
          </w:p>
        </w:tc>
        <w:tc>
          <w:tcPr>
            <w:tcW w:w="2558" w:type="dxa"/>
            <w:vMerge w:val="restart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干部、党员表率和带头情况</w:t>
            </w:r>
          </w:p>
        </w:tc>
        <w:tc>
          <w:tcPr>
            <w:tcW w:w="6089" w:type="dxa"/>
            <w:gridSpan w:val="4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开展自查自纠情况</w:t>
            </w:r>
          </w:p>
        </w:tc>
      </w:tr>
      <w:tr w:rsidR="00733CF2" w:rsidTr="00733CF2">
        <w:trPr>
          <w:trHeight w:val="637"/>
        </w:trPr>
        <w:tc>
          <w:tcPr>
            <w:tcW w:w="2328" w:type="dxa"/>
            <w:vMerge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558" w:type="dxa"/>
            <w:vMerge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涉及村数（个）</w:t>
            </w:r>
          </w:p>
        </w:tc>
        <w:tc>
          <w:tcPr>
            <w:tcW w:w="122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涉及户数（户）</w:t>
            </w:r>
          </w:p>
        </w:tc>
        <w:tc>
          <w:tcPr>
            <w:tcW w:w="1276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涉及面积（亩）</w:t>
            </w:r>
          </w:p>
        </w:tc>
        <w:tc>
          <w:tcPr>
            <w:tcW w:w="241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主要事由</w:t>
            </w:r>
          </w:p>
        </w:tc>
      </w:tr>
      <w:tr w:rsidR="00733CF2" w:rsidTr="00733CF2">
        <w:trPr>
          <w:trHeight w:val="1240"/>
        </w:trPr>
        <w:tc>
          <w:tcPr>
            <w:tcW w:w="232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55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733CF2" w:rsidTr="00733CF2">
        <w:trPr>
          <w:trHeight w:val="1240"/>
        </w:trPr>
        <w:tc>
          <w:tcPr>
            <w:tcW w:w="232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好经验和好做法</w:t>
            </w:r>
          </w:p>
        </w:tc>
        <w:tc>
          <w:tcPr>
            <w:tcW w:w="12557" w:type="dxa"/>
            <w:gridSpan w:val="7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733CF2" w:rsidTr="00733CF2">
        <w:trPr>
          <w:trHeight w:val="1269"/>
        </w:trPr>
        <w:tc>
          <w:tcPr>
            <w:tcW w:w="2328" w:type="dxa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733CF2">
              <w:rPr>
                <w:rFonts w:ascii="仿宋" w:hAnsi="仿宋" w:cs="仿宋" w:hint="eastAsia"/>
                <w:sz w:val="28"/>
                <w:szCs w:val="28"/>
              </w:rPr>
              <w:t>主要存在问题</w:t>
            </w:r>
          </w:p>
        </w:tc>
        <w:tc>
          <w:tcPr>
            <w:tcW w:w="12557" w:type="dxa"/>
            <w:gridSpan w:val="7"/>
            <w:vAlign w:val="center"/>
          </w:tcPr>
          <w:p w:rsidR="00733CF2" w:rsidRPr="00733CF2" w:rsidRDefault="00733CF2" w:rsidP="00232244"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 w:rsidR="00733CF2" w:rsidRDefault="00733CF2" w:rsidP="00733CF2">
      <w:pPr>
        <w:spacing w:line="400" w:lineRule="exact"/>
        <w:rPr>
          <w:rFonts w:ascii="仿宋" w:hAnsi="仿宋"/>
          <w:szCs w:val="32"/>
        </w:rPr>
      </w:pPr>
      <w:r>
        <w:rPr>
          <w:rFonts w:ascii="仿宋" w:hAnsi="仿宋" w:cs="仿宋" w:hint="eastAsia"/>
          <w:szCs w:val="32"/>
        </w:rPr>
        <w:t xml:space="preserve">填报人签字：                                             填报日期：2021年   月   日  </w:t>
      </w:r>
    </w:p>
    <w:p w:rsidR="00210490" w:rsidRPr="00733CF2" w:rsidRDefault="00210490" w:rsidP="00733CF2">
      <w:pPr>
        <w:widowControl/>
        <w:jc w:val="left"/>
        <w:textAlignment w:val="center"/>
        <w:rPr>
          <w:rFonts w:ascii="仿宋" w:hAnsi="仿宋" w:cs="仿宋"/>
          <w:color w:val="000000"/>
          <w:kern w:val="0"/>
          <w:sz w:val="24"/>
          <w:szCs w:val="24"/>
        </w:rPr>
      </w:pPr>
    </w:p>
    <w:sectPr w:rsidR="00210490" w:rsidRPr="00733CF2" w:rsidSect="00733CF2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1C" w:rsidRDefault="0017071C" w:rsidP="00EC48AE">
      <w:r>
        <w:separator/>
      </w:r>
    </w:p>
  </w:endnote>
  <w:endnote w:type="continuationSeparator" w:id="1">
    <w:p w:rsidR="0017071C" w:rsidRDefault="0017071C" w:rsidP="00EC4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F2" w:rsidRDefault="00733CF2">
    <w:pPr>
      <w:pStyle w:val="a6"/>
      <w:rPr>
        <w:rFonts w:eastAsia="宋体"/>
        <w:sz w:val="28"/>
      </w:rPr>
    </w:pPr>
  </w:p>
  <w:p w:rsidR="00733CF2" w:rsidRDefault="00733C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F2" w:rsidRDefault="00733CF2">
    <w:pPr>
      <w:pStyle w:val="a6"/>
    </w:pPr>
  </w:p>
  <w:p w:rsidR="00733CF2" w:rsidRDefault="00733C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AE" w:rsidRDefault="00EC48A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1C" w:rsidRDefault="0017071C" w:rsidP="00EC48AE">
      <w:r>
        <w:separator/>
      </w:r>
    </w:p>
  </w:footnote>
  <w:footnote w:type="continuationSeparator" w:id="1">
    <w:p w:rsidR="0017071C" w:rsidRDefault="0017071C" w:rsidP="00EC4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F2" w:rsidRDefault="00733CF2"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AE" w:rsidRDefault="00EC48A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bordersDoNotSurroundHeader/>
  <w:bordersDoNotSurroundFooter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2E9"/>
    <w:rsid w:val="00014398"/>
    <w:rsid w:val="000169A0"/>
    <w:rsid w:val="00024431"/>
    <w:rsid w:val="00062BFF"/>
    <w:rsid w:val="0006761E"/>
    <w:rsid w:val="000811F5"/>
    <w:rsid w:val="00090567"/>
    <w:rsid w:val="00095787"/>
    <w:rsid w:val="00095A31"/>
    <w:rsid w:val="00097620"/>
    <w:rsid w:val="000B4430"/>
    <w:rsid w:val="000B4667"/>
    <w:rsid w:val="000C4D3D"/>
    <w:rsid w:val="000D2000"/>
    <w:rsid w:val="000E52C5"/>
    <w:rsid w:val="000E5B6E"/>
    <w:rsid w:val="000F13B1"/>
    <w:rsid w:val="00103867"/>
    <w:rsid w:val="00114A7F"/>
    <w:rsid w:val="00115AF3"/>
    <w:rsid w:val="001379FE"/>
    <w:rsid w:val="00142BA2"/>
    <w:rsid w:val="0017071C"/>
    <w:rsid w:val="001772F3"/>
    <w:rsid w:val="0019493D"/>
    <w:rsid w:val="001951E9"/>
    <w:rsid w:val="00197325"/>
    <w:rsid w:val="001C08C6"/>
    <w:rsid w:val="001C0AF5"/>
    <w:rsid w:val="001E313A"/>
    <w:rsid w:val="0020568D"/>
    <w:rsid w:val="00210490"/>
    <w:rsid w:val="00213774"/>
    <w:rsid w:val="00214605"/>
    <w:rsid w:val="0022257C"/>
    <w:rsid w:val="00233617"/>
    <w:rsid w:val="00235C23"/>
    <w:rsid w:val="00246464"/>
    <w:rsid w:val="002532EB"/>
    <w:rsid w:val="00257002"/>
    <w:rsid w:val="002B3A25"/>
    <w:rsid w:val="002C4A49"/>
    <w:rsid w:val="002C7BF0"/>
    <w:rsid w:val="002F6A38"/>
    <w:rsid w:val="002F71EA"/>
    <w:rsid w:val="00307089"/>
    <w:rsid w:val="00310380"/>
    <w:rsid w:val="003209F3"/>
    <w:rsid w:val="00326857"/>
    <w:rsid w:val="00343B21"/>
    <w:rsid w:val="00345B67"/>
    <w:rsid w:val="00347695"/>
    <w:rsid w:val="00360767"/>
    <w:rsid w:val="003622E9"/>
    <w:rsid w:val="00375CBC"/>
    <w:rsid w:val="00381DA3"/>
    <w:rsid w:val="003867E6"/>
    <w:rsid w:val="003A28B2"/>
    <w:rsid w:val="003C485B"/>
    <w:rsid w:val="003D6247"/>
    <w:rsid w:val="00403BC0"/>
    <w:rsid w:val="00413902"/>
    <w:rsid w:val="00415A69"/>
    <w:rsid w:val="00457442"/>
    <w:rsid w:val="00476A55"/>
    <w:rsid w:val="00481B9B"/>
    <w:rsid w:val="004922BD"/>
    <w:rsid w:val="004A0018"/>
    <w:rsid w:val="004C2140"/>
    <w:rsid w:val="004C2436"/>
    <w:rsid w:val="004E30A4"/>
    <w:rsid w:val="004E4B8C"/>
    <w:rsid w:val="004F03FD"/>
    <w:rsid w:val="004F5424"/>
    <w:rsid w:val="005051DF"/>
    <w:rsid w:val="00515437"/>
    <w:rsid w:val="0054409C"/>
    <w:rsid w:val="00595BCE"/>
    <w:rsid w:val="005B0EF3"/>
    <w:rsid w:val="005C41F5"/>
    <w:rsid w:val="005F0470"/>
    <w:rsid w:val="005F14B3"/>
    <w:rsid w:val="005F53B2"/>
    <w:rsid w:val="006322C6"/>
    <w:rsid w:val="00647F76"/>
    <w:rsid w:val="0067018E"/>
    <w:rsid w:val="006725CD"/>
    <w:rsid w:val="006956FD"/>
    <w:rsid w:val="006A1FE8"/>
    <w:rsid w:val="006B42C9"/>
    <w:rsid w:val="006C168C"/>
    <w:rsid w:val="006D0AFD"/>
    <w:rsid w:val="006E325F"/>
    <w:rsid w:val="006F27DB"/>
    <w:rsid w:val="0070252B"/>
    <w:rsid w:val="00720828"/>
    <w:rsid w:val="00733CF2"/>
    <w:rsid w:val="007635BF"/>
    <w:rsid w:val="00773529"/>
    <w:rsid w:val="007A0FEC"/>
    <w:rsid w:val="007A42B6"/>
    <w:rsid w:val="007A54DE"/>
    <w:rsid w:val="007D5F8C"/>
    <w:rsid w:val="007F23FD"/>
    <w:rsid w:val="00801E79"/>
    <w:rsid w:val="00806ECC"/>
    <w:rsid w:val="008166B5"/>
    <w:rsid w:val="00824FF4"/>
    <w:rsid w:val="008316AD"/>
    <w:rsid w:val="00860AF4"/>
    <w:rsid w:val="00865168"/>
    <w:rsid w:val="00865D56"/>
    <w:rsid w:val="008676E9"/>
    <w:rsid w:val="008759AD"/>
    <w:rsid w:val="00882B85"/>
    <w:rsid w:val="00897CD5"/>
    <w:rsid w:val="008A4B64"/>
    <w:rsid w:val="008C45FD"/>
    <w:rsid w:val="008F0552"/>
    <w:rsid w:val="008F5124"/>
    <w:rsid w:val="0094799A"/>
    <w:rsid w:val="0098399C"/>
    <w:rsid w:val="00984282"/>
    <w:rsid w:val="00984CEB"/>
    <w:rsid w:val="0099306B"/>
    <w:rsid w:val="009C0103"/>
    <w:rsid w:val="009E07ED"/>
    <w:rsid w:val="00A17E3E"/>
    <w:rsid w:val="00A23BEA"/>
    <w:rsid w:val="00A30E94"/>
    <w:rsid w:val="00A3468F"/>
    <w:rsid w:val="00A431DC"/>
    <w:rsid w:val="00A4723F"/>
    <w:rsid w:val="00A5089A"/>
    <w:rsid w:val="00A53183"/>
    <w:rsid w:val="00A53D2E"/>
    <w:rsid w:val="00A842BD"/>
    <w:rsid w:val="00AA608F"/>
    <w:rsid w:val="00AB3D14"/>
    <w:rsid w:val="00AF2390"/>
    <w:rsid w:val="00AF3E84"/>
    <w:rsid w:val="00AF4FF6"/>
    <w:rsid w:val="00B276B2"/>
    <w:rsid w:val="00B350EB"/>
    <w:rsid w:val="00B40FAD"/>
    <w:rsid w:val="00B44BB6"/>
    <w:rsid w:val="00B54AB1"/>
    <w:rsid w:val="00B624AB"/>
    <w:rsid w:val="00B661A6"/>
    <w:rsid w:val="00B753A3"/>
    <w:rsid w:val="00B81930"/>
    <w:rsid w:val="00B81943"/>
    <w:rsid w:val="00B861FD"/>
    <w:rsid w:val="00B9208C"/>
    <w:rsid w:val="00B947E5"/>
    <w:rsid w:val="00BE5E35"/>
    <w:rsid w:val="00C12F1A"/>
    <w:rsid w:val="00C206DE"/>
    <w:rsid w:val="00C667BC"/>
    <w:rsid w:val="00C80F63"/>
    <w:rsid w:val="00C94B6D"/>
    <w:rsid w:val="00C97D80"/>
    <w:rsid w:val="00CC28A2"/>
    <w:rsid w:val="00CC4079"/>
    <w:rsid w:val="00CD1DEB"/>
    <w:rsid w:val="00CD764D"/>
    <w:rsid w:val="00CF3F55"/>
    <w:rsid w:val="00CF744E"/>
    <w:rsid w:val="00CF74ED"/>
    <w:rsid w:val="00D078F7"/>
    <w:rsid w:val="00D16CB7"/>
    <w:rsid w:val="00D24E37"/>
    <w:rsid w:val="00D268DC"/>
    <w:rsid w:val="00D33985"/>
    <w:rsid w:val="00D64F6B"/>
    <w:rsid w:val="00D70B02"/>
    <w:rsid w:val="00D73151"/>
    <w:rsid w:val="00D81DA2"/>
    <w:rsid w:val="00D85797"/>
    <w:rsid w:val="00D91B2D"/>
    <w:rsid w:val="00DA24E6"/>
    <w:rsid w:val="00DB26A4"/>
    <w:rsid w:val="00DC5E34"/>
    <w:rsid w:val="00DE3E36"/>
    <w:rsid w:val="00E24B91"/>
    <w:rsid w:val="00E4313B"/>
    <w:rsid w:val="00E51D5C"/>
    <w:rsid w:val="00E54717"/>
    <w:rsid w:val="00E569A4"/>
    <w:rsid w:val="00E647D9"/>
    <w:rsid w:val="00E95DB2"/>
    <w:rsid w:val="00EA5439"/>
    <w:rsid w:val="00EB0534"/>
    <w:rsid w:val="00EB20B2"/>
    <w:rsid w:val="00EB43B8"/>
    <w:rsid w:val="00EC48AE"/>
    <w:rsid w:val="00EC4E46"/>
    <w:rsid w:val="00ED1182"/>
    <w:rsid w:val="00EE08E0"/>
    <w:rsid w:val="00F103D9"/>
    <w:rsid w:val="00F24CD5"/>
    <w:rsid w:val="00F25708"/>
    <w:rsid w:val="00F4346F"/>
    <w:rsid w:val="00F66F37"/>
    <w:rsid w:val="00F81B5D"/>
    <w:rsid w:val="00FB0B32"/>
    <w:rsid w:val="00FB1A1E"/>
    <w:rsid w:val="00FB7D8D"/>
    <w:rsid w:val="00FC3DD4"/>
    <w:rsid w:val="00FE6B72"/>
    <w:rsid w:val="00FF002F"/>
    <w:rsid w:val="339D0B8C"/>
    <w:rsid w:val="4864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AE"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EC48AE"/>
    <w:pPr>
      <w:jc w:val="left"/>
    </w:pPr>
    <w:rPr>
      <w:rFonts w:ascii="Calibri" w:eastAsia="宋体" w:hAnsi="Calibri"/>
      <w:sz w:val="21"/>
      <w:szCs w:val="21"/>
    </w:rPr>
  </w:style>
  <w:style w:type="paragraph" w:styleId="a4">
    <w:name w:val="Body Text"/>
    <w:basedOn w:val="a"/>
    <w:link w:val="Char"/>
    <w:rsid w:val="00EC48AE"/>
    <w:pPr>
      <w:spacing w:line="0" w:lineRule="atLeast"/>
    </w:pPr>
    <w:rPr>
      <w:rFonts w:eastAsia="小标宋"/>
      <w:sz w:val="44"/>
      <w:szCs w:val="32"/>
    </w:rPr>
  </w:style>
  <w:style w:type="paragraph" w:styleId="a5">
    <w:name w:val="Body Text Indent"/>
    <w:basedOn w:val="a"/>
    <w:link w:val="Char0"/>
    <w:uiPriority w:val="99"/>
    <w:semiHidden/>
    <w:unhideWhenUsed/>
    <w:rsid w:val="00EC48AE"/>
    <w:pPr>
      <w:spacing w:after="120"/>
      <w:ind w:leftChars="200" w:left="420"/>
    </w:pPr>
  </w:style>
  <w:style w:type="paragraph" w:styleId="a6">
    <w:name w:val="footer"/>
    <w:basedOn w:val="a"/>
    <w:link w:val="Char2"/>
    <w:uiPriority w:val="99"/>
    <w:unhideWhenUsed/>
    <w:qFormat/>
    <w:rsid w:val="00EC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rsid w:val="00EC4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EC48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EC48AE"/>
  </w:style>
  <w:style w:type="character" w:customStyle="1" w:styleId="Char3">
    <w:name w:val="页眉 Char"/>
    <w:basedOn w:val="a0"/>
    <w:link w:val="a7"/>
    <w:uiPriority w:val="99"/>
    <w:semiHidden/>
    <w:rsid w:val="00EC48AE"/>
    <w:rPr>
      <w:rFonts w:ascii="宋体" w:eastAsia="方正仿宋简体" w:hAnsi="宋体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C48AE"/>
    <w:rPr>
      <w:rFonts w:ascii="宋体" w:eastAsia="方正仿宋简体" w:hAnsi="宋体"/>
      <w:sz w:val="18"/>
      <w:szCs w:val="18"/>
    </w:rPr>
  </w:style>
  <w:style w:type="character" w:customStyle="1" w:styleId="Char">
    <w:name w:val="正文文本 Char"/>
    <w:basedOn w:val="a0"/>
    <w:link w:val="a4"/>
    <w:rsid w:val="00EC48AE"/>
    <w:rPr>
      <w:rFonts w:ascii="宋体" w:eastAsia="小标宋" w:hAnsi="宋体" w:cs="Times New Roman"/>
      <w:sz w:val="44"/>
      <w:szCs w:val="32"/>
    </w:rPr>
  </w:style>
  <w:style w:type="character" w:customStyle="1" w:styleId="Char0">
    <w:name w:val="正文文本缩进 Char"/>
    <w:basedOn w:val="a0"/>
    <w:link w:val="a5"/>
    <w:uiPriority w:val="99"/>
    <w:semiHidden/>
    <w:rsid w:val="00EC48AE"/>
    <w:rPr>
      <w:rFonts w:ascii="宋体" w:eastAsia="仿宋" w:hAnsi="宋体"/>
      <w:kern w:val="2"/>
      <w:sz w:val="32"/>
      <w:szCs w:val="22"/>
    </w:rPr>
  </w:style>
  <w:style w:type="character" w:customStyle="1" w:styleId="Char4">
    <w:name w:val="批注文字 Char"/>
    <w:basedOn w:val="a0"/>
    <w:link w:val="a3"/>
    <w:qFormat/>
    <w:rsid w:val="00EC48AE"/>
    <w:rPr>
      <w:kern w:val="2"/>
      <w:sz w:val="21"/>
      <w:szCs w:val="21"/>
    </w:rPr>
  </w:style>
  <w:style w:type="character" w:customStyle="1" w:styleId="Char1">
    <w:name w:val="批注文字 Char1"/>
    <w:basedOn w:val="a0"/>
    <w:link w:val="a3"/>
    <w:uiPriority w:val="99"/>
    <w:semiHidden/>
    <w:rsid w:val="00EC48AE"/>
    <w:rPr>
      <w:rFonts w:ascii="宋体" w:eastAsia="仿宋" w:hAnsi="宋体"/>
      <w:kern w:val="2"/>
      <w:sz w:val="32"/>
      <w:szCs w:val="22"/>
    </w:rPr>
  </w:style>
  <w:style w:type="paragraph" w:customStyle="1" w:styleId="1">
    <w:name w:val="普通(网站)1"/>
    <w:basedOn w:val="a"/>
    <w:rsid w:val="00EC48AE"/>
    <w:pPr>
      <w:jc w:val="left"/>
    </w:pPr>
    <w:rPr>
      <w:rFonts w:ascii="Calibri" w:eastAsia="宋体" w:hAnsi="Calibri"/>
      <w:kern w:val="0"/>
      <w:sz w:val="24"/>
      <w:szCs w:val="24"/>
    </w:rPr>
  </w:style>
  <w:style w:type="character" w:customStyle="1" w:styleId="font01">
    <w:name w:val="font01"/>
    <w:qFormat/>
    <w:rsid w:val="00EC48AE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paragraph" w:styleId="aa">
    <w:name w:val="List Paragraph"/>
    <w:basedOn w:val="a"/>
    <w:uiPriority w:val="34"/>
    <w:qFormat/>
    <w:rsid w:val="00EC48AE"/>
    <w:pPr>
      <w:ind w:firstLineChars="200" w:firstLine="420"/>
    </w:pPr>
  </w:style>
  <w:style w:type="paragraph" w:customStyle="1" w:styleId="2">
    <w:name w:val="普通(网站)2"/>
    <w:basedOn w:val="a"/>
    <w:rsid w:val="00EC48AE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E5C230C-FCB0-4B93-B339-8766D9FFC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区农林局收发员</dc:creator>
  <cp:lastModifiedBy>区农林局收发员</cp:lastModifiedBy>
  <cp:revision>5</cp:revision>
  <cp:lastPrinted>2021-02-19T08:36:00Z</cp:lastPrinted>
  <dcterms:created xsi:type="dcterms:W3CDTF">2021-02-18T02:10:00Z</dcterms:created>
  <dcterms:modified xsi:type="dcterms:W3CDTF">2021-02-19T08:36:00Z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