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方正小标宋简体" w:hAnsi="方正小标宋_GBK" w:eastAsia="方正小标宋简体"/>
          <w:b w:val="0"/>
          <w:bCs w:val="0"/>
          <w:sz w:val="36"/>
          <w:szCs w:val="36"/>
        </w:rPr>
      </w:pPr>
      <w:bookmarkStart w:id="1" w:name="_GoBack"/>
      <w:bookmarkStart w:id="0" w:name="_Toc24724705"/>
      <w:r>
        <w:rPr>
          <w:rFonts w:hint="eastAsia" w:ascii="方正小标宋简体" w:hAnsi="方正小标宋_GBK" w:eastAsia="方正小标宋简体"/>
          <w:b w:val="0"/>
          <w:bCs w:val="0"/>
          <w:sz w:val="36"/>
          <w:szCs w:val="36"/>
        </w:rPr>
        <w:t>（二）公共资源交易领域基层政务公开标准目录</w:t>
      </w:r>
      <w:bookmarkEnd w:id="0"/>
    </w:p>
    <w:bookmarkEnd w:id="1"/>
    <w:tbl>
      <w:tblPr>
        <w:tblStyle w:val="6"/>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611"/>
        <w:gridCol w:w="877"/>
        <w:gridCol w:w="2953"/>
        <w:gridCol w:w="2075"/>
        <w:gridCol w:w="1192"/>
        <w:gridCol w:w="974"/>
        <w:gridCol w:w="2452"/>
        <w:gridCol w:w="473"/>
        <w:gridCol w:w="461"/>
        <w:gridCol w:w="457"/>
        <w:gridCol w:w="517"/>
        <w:gridCol w:w="597"/>
        <w:gridCol w:w="90"/>
        <w:gridCol w:w="681"/>
        <w:gridCol w:w="9"/>
        <w:gridCol w:w="96"/>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44" w:type="pct"/>
            <w:vMerge w:val="restart"/>
            <w:shd w:val="clear" w:color="auto" w:fill="auto"/>
            <w:vAlign w:val="center"/>
          </w:tcPr>
          <w:p>
            <w:pPr>
              <w:widowControl/>
              <w:jc w:val="center"/>
              <w:rPr>
                <w:rFonts w:ascii="仿宋_GB2312" w:hAnsi="Times New Roman" w:eastAsia="仿宋_GB2312"/>
                <w:color w:val="auto"/>
                <w:kern w:val="0"/>
                <w:sz w:val="22"/>
                <w:szCs w:val="22"/>
                <w:highlight w:val="none"/>
              </w:rPr>
            </w:pPr>
            <w:r>
              <w:rPr>
                <w:rFonts w:hint="eastAsia" w:ascii="黑体" w:hAnsi="宋体" w:eastAsia="黑体" w:cs="宋体"/>
                <w:color w:val="auto"/>
                <w:kern w:val="0"/>
                <w:sz w:val="22"/>
                <w:szCs w:val="22"/>
                <w:highlight w:val="none"/>
              </w:rPr>
              <w:t>序号</w:t>
            </w:r>
          </w:p>
        </w:tc>
        <w:tc>
          <w:tcPr>
            <w:tcW w:w="478" w:type="pct"/>
            <w:gridSpan w:val="2"/>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公开事项</w:t>
            </w:r>
          </w:p>
        </w:tc>
        <w:tc>
          <w:tcPr>
            <w:tcW w:w="949" w:type="pct"/>
            <w:vMerge w:val="restar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公开内容（要素）</w:t>
            </w:r>
          </w:p>
        </w:tc>
        <w:tc>
          <w:tcPr>
            <w:tcW w:w="667" w:type="pct"/>
            <w:vMerge w:val="restar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公开依据</w:t>
            </w:r>
          </w:p>
        </w:tc>
        <w:tc>
          <w:tcPr>
            <w:tcW w:w="383" w:type="pct"/>
            <w:vMerge w:val="restar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公开</w:t>
            </w:r>
          </w:p>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时限</w:t>
            </w:r>
          </w:p>
        </w:tc>
        <w:tc>
          <w:tcPr>
            <w:tcW w:w="313" w:type="pct"/>
            <w:vMerge w:val="restar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公开</w:t>
            </w:r>
          </w:p>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主体</w:t>
            </w:r>
          </w:p>
        </w:tc>
        <w:tc>
          <w:tcPr>
            <w:tcW w:w="788" w:type="pct"/>
            <w:vMerge w:val="restar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公开渠道和载体</w:t>
            </w:r>
          </w:p>
        </w:tc>
        <w:tc>
          <w:tcPr>
            <w:tcW w:w="300" w:type="pct"/>
            <w:gridSpan w:val="2"/>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公开对象</w:t>
            </w:r>
          </w:p>
        </w:tc>
        <w:tc>
          <w:tcPr>
            <w:tcW w:w="313" w:type="pct"/>
            <w:gridSpan w:val="2"/>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公开方式</w:t>
            </w:r>
          </w:p>
        </w:tc>
        <w:tc>
          <w:tcPr>
            <w:tcW w:w="664" w:type="pct"/>
            <w:gridSpan w:val="6"/>
          </w:tcPr>
          <w:p>
            <w:pPr>
              <w:widowControl/>
              <w:jc w:val="center"/>
              <w:rPr>
                <w:rFonts w:ascii="黑体" w:hAnsi="宋体" w:eastAsia="黑体" w:cs="宋体"/>
                <w:color w:val="auto"/>
                <w:kern w:val="0"/>
                <w:sz w:val="22"/>
                <w:szCs w:val="22"/>
                <w:highlight w:val="none"/>
              </w:rPr>
            </w:pPr>
            <w:r>
              <w:rPr>
                <w:rFonts w:eastAsia="黑体"/>
                <w:color w:val="auto"/>
                <w:kern w:val="0"/>
                <w:sz w:val="22"/>
                <w:szCs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Merge w:val="continue"/>
            <w:vAlign w:val="center"/>
          </w:tcPr>
          <w:p>
            <w:pPr>
              <w:widowControl/>
              <w:jc w:val="left"/>
              <w:rPr>
                <w:rFonts w:ascii="仿宋_GB2312" w:hAnsi="Times New Roman" w:eastAsia="仿宋_GB2312"/>
                <w:color w:val="auto"/>
                <w:kern w:val="0"/>
                <w:sz w:val="22"/>
                <w:szCs w:val="22"/>
                <w:highlight w:val="none"/>
              </w:rPr>
            </w:pPr>
          </w:p>
        </w:tc>
        <w:tc>
          <w:tcPr>
            <w:tcW w:w="196" w:type="pc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一级事项</w:t>
            </w:r>
          </w:p>
        </w:tc>
        <w:tc>
          <w:tcPr>
            <w:tcW w:w="282" w:type="pc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二级事项</w:t>
            </w:r>
          </w:p>
        </w:tc>
        <w:tc>
          <w:tcPr>
            <w:tcW w:w="949" w:type="pct"/>
            <w:vMerge w:val="continue"/>
            <w:vAlign w:val="center"/>
          </w:tcPr>
          <w:p>
            <w:pPr>
              <w:widowControl/>
              <w:jc w:val="left"/>
              <w:rPr>
                <w:rFonts w:ascii="黑体" w:hAnsi="宋体" w:eastAsia="黑体" w:cs="宋体"/>
                <w:color w:val="auto"/>
                <w:kern w:val="0"/>
                <w:sz w:val="22"/>
                <w:szCs w:val="22"/>
                <w:highlight w:val="none"/>
              </w:rPr>
            </w:pPr>
          </w:p>
        </w:tc>
        <w:tc>
          <w:tcPr>
            <w:tcW w:w="667" w:type="pct"/>
            <w:vMerge w:val="continue"/>
            <w:vAlign w:val="center"/>
          </w:tcPr>
          <w:p>
            <w:pPr>
              <w:widowControl/>
              <w:jc w:val="left"/>
              <w:rPr>
                <w:rFonts w:ascii="黑体" w:hAnsi="宋体" w:eastAsia="黑体" w:cs="宋体"/>
                <w:color w:val="auto"/>
                <w:kern w:val="0"/>
                <w:sz w:val="22"/>
                <w:szCs w:val="22"/>
                <w:highlight w:val="none"/>
              </w:rPr>
            </w:pPr>
          </w:p>
        </w:tc>
        <w:tc>
          <w:tcPr>
            <w:tcW w:w="383" w:type="pct"/>
            <w:vMerge w:val="continue"/>
            <w:vAlign w:val="center"/>
          </w:tcPr>
          <w:p>
            <w:pPr>
              <w:widowControl/>
              <w:jc w:val="left"/>
              <w:rPr>
                <w:rFonts w:ascii="黑体" w:hAnsi="宋体" w:eastAsia="黑体" w:cs="宋体"/>
                <w:color w:val="auto"/>
                <w:kern w:val="0"/>
                <w:sz w:val="22"/>
                <w:szCs w:val="22"/>
                <w:highlight w:val="none"/>
              </w:rPr>
            </w:pPr>
          </w:p>
        </w:tc>
        <w:tc>
          <w:tcPr>
            <w:tcW w:w="313" w:type="pct"/>
            <w:vMerge w:val="continue"/>
            <w:vAlign w:val="center"/>
          </w:tcPr>
          <w:p>
            <w:pPr>
              <w:widowControl/>
              <w:jc w:val="left"/>
              <w:rPr>
                <w:rFonts w:ascii="黑体" w:hAnsi="宋体" w:eastAsia="黑体" w:cs="宋体"/>
                <w:color w:val="auto"/>
                <w:kern w:val="0"/>
                <w:sz w:val="22"/>
                <w:szCs w:val="22"/>
                <w:highlight w:val="none"/>
              </w:rPr>
            </w:pPr>
          </w:p>
        </w:tc>
        <w:tc>
          <w:tcPr>
            <w:tcW w:w="788" w:type="pct"/>
            <w:vMerge w:val="continue"/>
            <w:vAlign w:val="center"/>
          </w:tcPr>
          <w:p>
            <w:pPr>
              <w:widowControl/>
              <w:jc w:val="left"/>
              <w:rPr>
                <w:rFonts w:ascii="黑体" w:hAnsi="宋体" w:eastAsia="黑体" w:cs="宋体"/>
                <w:color w:val="auto"/>
                <w:kern w:val="0"/>
                <w:sz w:val="22"/>
                <w:szCs w:val="22"/>
                <w:highlight w:val="none"/>
              </w:rPr>
            </w:pPr>
          </w:p>
        </w:tc>
        <w:tc>
          <w:tcPr>
            <w:tcW w:w="152" w:type="pc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全社会</w:t>
            </w:r>
          </w:p>
        </w:tc>
        <w:tc>
          <w:tcPr>
            <w:tcW w:w="148" w:type="pc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特定</w:t>
            </w:r>
          </w:p>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群众</w:t>
            </w:r>
          </w:p>
        </w:tc>
        <w:tc>
          <w:tcPr>
            <w:tcW w:w="147" w:type="pc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主动</w:t>
            </w:r>
          </w:p>
        </w:tc>
        <w:tc>
          <w:tcPr>
            <w:tcW w:w="166" w:type="pct"/>
            <w:shd w:val="clear" w:color="auto" w:fill="auto"/>
            <w:vAlign w:val="center"/>
          </w:tcPr>
          <w:p>
            <w:pPr>
              <w:widowControl/>
              <w:jc w:val="center"/>
              <w:rPr>
                <w:rFonts w:ascii="黑体" w:hAnsi="宋体" w:eastAsia="黑体" w:cs="宋体"/>
                <w:color w:val="auto"/>
                <w:kern w:val="0"/>
                <w:sz w:val="22"/>
                <w:szCs w:val="22"/>
                <w:highlight w:val="none"/>
              </w:rPr>
            </w:pPr>
            <w:r>
              <w:rPr>
                <w:rFonts w:hint="eastAsia" w:ascii="黑体" w:hAnsi="宋体" w:eastAsia="黑体" w:cs="宋体"/>
                <w:color w:val="auto"/>
                <w:kern w:val="0"/>
                <w:sz w:val="22"/>
                <w:szCs w:val="22"/>
                <w:highlight w:val="none"/>
              </w:rPr>
              <w:t>依申请公开</w:t>
            </w:r>
          </w:p>
        </w:tc>
        <w:tc>
          <w:tcPr>
            <w:tcW w:w="192" w:type="pct"/>
            <w:vAlign w:val="center"/>
          </w:tcPr>
          <w:p>
            <w:pPr>
              <w:widowControl/>
              <w:spacing w:line="440" w:lineRule="exact"/>
              <w:jc w:val="center"/>
              <w:rPr>
                <w:rFonts w:eastAsia="黑体"/>
                <w:color w:val="auto"/>
                <w:kern w:val="0"/>
                <w:sz w:val="22"/>
                <w:szCs w:val="22"/>
                <w:highlight w:val="none"/>
              </w:rPr>
            </w:pPr>
            <w:r>
              <w:rPr>
                <w:rFonts w:eastAsia="黑体"/>
                <w:color w:val="auto"/>
                <w:kern w:val="0"/>
                <w:sz w:val="22"/>
                <w:szCs w:val="22"/>
                <w:highlight w:val="none"/>
              </w:rPr>
              <w:t>县级</w:t>
            </w:r>
          </w:p>
        </w:tc>
        <w:tc>
          <w:tcPr>
            <w:tcW w:w="248" w:type="pct"/>
            <w:gridSpan w:val="2"/>
            <w:vAlign w:val="center"/>
          </w:tcPr>
          <w:p>
            <w:pPr>
              <w:widowControl/>
              <w:spacing w:line="440" w:lineRule="exact"/>
              <w:jc w:val="center"/>
              <w:rPr>
                <w:rFonts w:eastAsia="黑体"/>
                <w:color w:val="auto"/>
                <w:kern w:val="0"/>
                <w:sz w:val="22"/>
                <w:szCs w:val="22"/>
                <w:highlight w:val="none"/>
              </w:rPr>
            </w:pPr>
            <w:r>
              <w:rPr>
                <w:rFonts w:hint="eastAsia" w:eastAsia="黑体"/>
                <w:color w:val="auto"/>
                <w:kern w:val="0"/>
                <w:sz w:val="22"/>
                <w:szCs w:val="22"/>
                <w:highlight w:val="none"/>
              </w:rPr>
              <w:t>镇（街）级</w:t>
            </w:r>
          </w:p>
        </w:tc>
        <w:tc>
          <w:tcPr>
            <w:tcW w:w="225" w:type="pct"/>
            <w:gridSpan w:val="3"/>
            <w:vAlign w:val="center"/>
          </w:tcPr>
          <w:p>
            <w:pPr>
              <w:widowControl/>
              <w:spacing w:line="440" w:lineRule="exact"/>
              <w:jc w:val="center"/>
              <w:rPr>
                <w:rFonts w:eastAsia="黑体"/>
                <w:color w:val="auto"/>
                <w:kern w:val="0"/>
                <w:sz w:val="22"/>
                <w:szCs w:val="22"/>
                <w:highlight w:val="none"/>
              </w:rPr>
            </w:pPr>
            <w:r>
              <w:rPr>
                <w:rFonts w:hint="eastAsia" w:eastAsia="黑体"/>
                <w:color w:val="auto"/>
                <w:kern w:val="0"/>
                <w:sz w:val="22"/>
                <w:szCs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6" w:hRule="atLeast"/>
          <w:jc w:val="center"/>
        </w:trPr>
        <w:tc>
          <w:tcPr>
            <w:tcW w:w="144" w:type="pct"/>
            <w:vAlign w:val="center"/>
          </w:tcPr>
          <w:p>
            <w:pPr>
              <w:jc w:val="center"/>
              <w:rPr>
                <w:rFonts w:ascii="仿宋_GB2312" w:hAnsi="宋体" w:eastAsia="仿宋_GB2312" w:cs="宋体"/>
                <w:color w:val="auto"/>
                <w:sz w:val="22"/>
                <w:szCs w:val="22"/>
                <w:highlight w:val="none"/>
              </w:rPr>
            </w:pPr>
            <w:r>
              <w:rPr>
                <w:rFonts w:hint="eastAsia" w:ascii="仿宋_GB2312" w:eastAsia="仿宋_GB2312"/>
                <w:color w:val="auto"/>
                <w:sz w:val="22"/>
                <w:szCs w:val="22"/>
                <w:highlight w:val="none"/>
              </w:rPr>
              <w:t>1</w:t>
            </w:r>
          </w:p>
        </w:tc>
        <w:tc>
          <w:tcPr>
            <w:tcW w:w="196" w:type="pct"/>
            <w:shd w:val="clear" w:color="auto" w:fill="auto"/>
            <w:vAlign w:val="center"/>
          </w:tcPr>
          <w:p>
            <w:pPr>
              <w:jc w:val="cente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工程建设项目招标投标信息</w:t>
            </w:r>
          </w:p>
        </w:tc>
        <w:tc>
          <w:tcPr>
            <w:tcW w:w="282" w:type="pct"/>
            <w:shd w:val="clear" w:color="auto" w:fill="auto"/>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审批核准信息</w:t>
            </w:r>
          </w:p>
        </w:tc>
        <w:tc>
          <w:tcPr>
            <w:tcW w:w="949" w:type="pct"/>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招标内容、招标范围、招标组织形式、招标方式、招标估算金额、招标事项审核或核准部门。</w:t>
            </w:r>
          </w:p>
        </w:tc>
        <w:tc>
          <w:tcPr>
            <w:tcW w:w="667" w:type="pct"/>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《招标投标法实施条例》、《政府信息公开条例》、《国务院办公厅关于推进公共资源配置领域政府信息公开的意见》、《关于印发江门市工程建设项目招标投标信息公开目录的通知》</w:t>
            </w:r>
          </w:p>
        </w:tc>
        <w:tc>
          <w:tcPr>
            <w:tcW w:w="38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信息形成之日起20个工作日内</w:t>
            </w:r>
          </w:p>
        </w:tc>
        <w:tc>
          <w:tcPr>
            <w:tcW w:w="31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负责管理的部门分别公开</w:t>
            </w:r>
          </w:p>
        </w:tc>
        <w:tc>
          <w:tcPr>
            <w:tcW w:w="788"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■政府网站</w:t>
            </w:r>
            <w:r>
              <w:rPr>
                <w:rFonts w:ascii="仿宋_GB2312" w:hAnsi="宋体" w:eastAsia="仿宋_GB2312"/>
                <w:color w:val="auto"/>
                <w:sz w:val="22"/>
                <w:szCs w:val="22"/>
                <w:highlight w:val="none"/>
              </w:rPr>
              <w:t></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■管理部门网站</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■部门频道</w:t>
            </w:r>
          </w:p>
          <w:p>
            <w:pPr>
              <w:rPr>
                <w:rFonts w:ascii="仿宋_GB2312" w:hAnsi="宋体" w:eastAsia="仿宋_GB2312"/>
                <w:color w:val="auto"/>
                <w:sz w:val="22"/>
                <w:szCs w:val="22"/>
                <w:highlight w:val="none"/>
              </w:rPr>
            </w:pPr>
            <w:r>
              <w:rPr>
                <w:rFonts w:hint="eastAsia" w:ascii="仿宋_GB2312" w:hAnsi="宋体" w:eastAsia="仿宋_GB2312"/>
                <w:color w:val="auto"/>
                <w:kern w:val="0"/>
                <w:sz w:val="22"/>
                <w:szCs w:val="22"/>
                <w:highlight w:val="none"/>
              </w:rPr>
              <w:t>■政务新媒体</w:t>
            </w:r>
          </w:p>
        </w:tc>
        <w:tc>
          <w:tcPr>
            <w:tcW w:w="152"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48"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　</w:t>
            </w:r>
          </w:p>
        </w:tc>
        <w:tc>
          <w:tcPr>
            <w:tcW w:w="147"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66"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　</w:t>
            </w:r>
          </w:p>
        </w:tc>
        <w:tc>
          <w:tcPr>
            <w:tcW w:w="192" w:type="pct"/>
            <w:vAlign w:val="center"/>
          </w:tcPr>
          <w:p>
            <w:pPr>
              <w:jc w:val="center"/>
              <w:rPr>
                <w:color w:val="auto"/>
                <w:sz w:val="22"/>
                <w:szCs w:val="22"/>
                <w:highlight w:val="none"/>
              </w:rPr>
            </w:pPr>
            <w:r>
              <w:rPr>
                <w:rFonts w:hint="eastAsia"/>
                <w:color w:val="auto"/>
                <w:sz w:val="22"/>
                <w:szCs w:val="22"/>
                <w:highlight w:val="none"/>
              </w:rPr>
              <w:t>√</w:t>
            </w:r>
          </w:p>
        </w:tc>
        <w:tc>
          <w:tcPr>
            <w:tcW w:w="248" w:type="pct"/>
            <w:gridSpan w:val="2"/>
            <w:vAlign w:val="center"/>
          </w:tcPr>
          <w:p>
            <w:pPr>
              <w:jc w:val="center"/>
              <w:rPr>
                <w:color w:val="auto"/>
                <w:sz w:val="22"/>
                <w:szCs w:val="22"/>
                <w:highlight w:val="none"/>
              </w:rPr>
            </w:pPr>
            <w:r>
              <w:rPr>
                <w:rFonts w:hint="eastAsia"/>
                <w:color w:val="auto"/>
                <w:sz w:val="22"/>
                <w:szCs w:val="22"/>
                <w:highlight w:val="none"/>
              </w:rPr>
              <w:t>√</w:t>
            </w:r>
          </w:p>
        </w:tc>
        <w:tc>
          <w:tcPr>
            <w:tcW w:w="225" w:type="pct"/>
            <w:gridSpan w:val="3"/>
            <w:vAlign w:val="center"/>
          </w:tcPr>
          <w:p>
            <w:pPr>
              <w:jc w:val="center"/>
              <w:rPr>
                <w:color w:val="auto"/>
                <w:sz w:val="22"/>
                <w:szCs w:val="22"/>
                <w:highlight w:val="none"/>
              </w:rPr>
            </w:pPr>
            <w:r>
              <w:rPr>
                <w:rFonts w:hint="eastAsia"/>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6" w:hRule="atLeast"/>
          <w:jc w:val="center"/>
        </w:trPr>
        <w:tc>
          <w:tcPr>
            <w:tcW w:w="144" w:type="pct"/>
            <w:vAlign w:val="center"/>
          </w:tcPr>
          <w:p>
            <w:pPr>
              <w:jc w:val="center"/>
              <w:rPr>
                <w:rFonts w:ascii="仿宋_GB2312" w:hAnsi="宋体" w:eastAsia="仿宋_GB2312" w:cs="宋体"/>
                <w:color w:val="auto"/>
                <w:sz w:val="22"/>
                <w:szCs w:val="22"/>
                <w:highlight w:val="none"/>
              </w:rPr>
            </w:pPr>
            <w:r>
              <w:rPr>
                <w:rFonts w:hint="eastAsia" w:ascii="仿宋_GB2312" w:eastAsia="仿宋_GB2312"/>
                <w:color w:val="auto"/>
                <w:sz w:val="22"/>
                <w:szCs w:val="22"/>
                <w:highlight w:val="none"/>
              </w:rPr>
              <w:t>2</w:t>
            </w:r>
          </w:p>
        </w:tc>
        <w:tc>
          <w:tcPr>
            <w:tcW w:w="196" w:type="pct"/>
            <w:shd w:val="clear" w:color="auto" w:fill="auto"/>
            <w:vAlign w:val="center"/>
          </w:tcPr>
          <w:p>
            <w:pPr>
              <w:jc w:val="cente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工程建设项目招标投标信息</w:t>
            </w:r>
          </w:p>
        </w:tc>
        <w:tc>
          <w:tcPr>
            <w:tcW w:w="282" w:type="pct"/>
            <w:shd w:val="clear" w:color="auto" w:fill="auto"/>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资格预审公告</w:t>
            </w:r>
          </w:p>
        </w:tc>
        <w:tc>
          <w:tcPr>
            <w:tcW w:w="949" w:type="pct"/>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667" w:type="pct"/>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《招标投标法》、《招标投标法实施条例》、《国务院办公厅关于推进公共资源配置领域政府信息公开的意见》、《招标公告和公示信息发布管理办法》、《广东省工程建设项目招标投标信息公开目录》</w:t>
            </w:r>
          </w:p>
        </w:tc>
        <w:tc>
          <w:tcPr>
            <w:tcW w:w="38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及时公开</w:t>
            </w:r>
          </w:p>
        </w:tc>
        <w:tc>
          <w:tcPr>
            <w:tcW w:w="31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招标人或者其委托的招标代理机构</w:t>
            </w:r>
          </w:p>
        </w:tc>
        <w:tc>
          <w:tcPr>
            <w:tcW w:w="788"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■招标投标公共服务平台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■公共资源交易平台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■电子招标投标交易平台</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■广东省招标投标监管网</w:t>
            </w:r>
          </w:p>
        </w:tc>
        <w:tc>
          <w:tcPr>
            <w:tcW w:w="152"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48" w:type="pct"/>
            <w:shd w:val="clear" w:color="auto" w:fill="auto"/>
            <w:vAlign w:val="center"/>
          </w:tcPr>
          <w:p>
            <w:pPr>
              <w:jc w:val="center"/>
              <w:rPr>
                <w:rFonts w:ascii="仿宋_GB2312" w:hAnsi="宋体" w:eastAsia="仿宋_GB2312"/>
                <w:color w:val="auto"/>
                <w:sz w:val="22"/>
                <w:szCs w:val="22"/>
                <w:highlight w:val="none"/>
              </w:rPr>
            </w:pPr>
          </w:p>
        </w:tc>
        <w:tc>
          <w:tcPr>
            <w:tcW w:w="147"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66" w:type="pct"/>
            <w:shd w:val="clear" w:color="auto" w:fill="auto"/>
            <w:vAlign w:val="center"/>
          </w:tcPr>
          <w:p>
            <w:pPr>
              <w:jc w:val="center"/>
              <w:rPr>
                <w:rFonts w:ascii="仿宋_GB2312" w:hAnsi="宋体" w:eastAsia="仿宋_GB2312"/>
                <w:color w:val="auto"/>
                <w:sz w:val="22"/>
                <w:szCs w:val="22"/>
                <w:highlight w:val="none"/>
              </w:rPr>
            </w:pPr>
          </w:p>
        </w:tc>
        <w:tc>
          <w:tcPr>
            <w:tcW w:w="192" w:type="pct"/>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248" w:type="pct"/>
            <w:gridSpan w:val="2"/>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225" w:type="pct"/>
            <w:gridSpan w:val="3"/>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0" w:hRule="atLeast"/>
          <w:jc w:val="center"/>
        </w:trPr>
        <w:tc>
          <w:tcPr>
            <w:tcW w:w="144" w:type="pct"/>
            <w:vAlign w:val="center"/>
          </w:tcPr>
          <w:p>
            <w:pPr>
              <w:jc w:val="center"/>
              <w:rPr>
                <w:rFonts w:ascii="仿宋_GB2312" w:hAnsi="宋体" w:eastAsia="仿宋_GB2312" w:cs="宋体"/>
                <w:color w:val="auto"/>
                <w:sz w:val="22"/>
                <w:szCs w:val="22"/>
                <w:highlight w:val="none"/>
              </w:rPr>
            </w:pPr>
            <w:r>
              <w:rPr>
                <w:rFonts w:hint="eastAsia" w:ascii="仿宋_GB2312" w:eastAsia="仿宋_GB2312"/>
                <w:color w:val="auto"/>
                <w:sz w:val="22"/>
                <w:szCs w:val="22"/>
                <w:highlight w:val="none"/>
              </w:rPr>
              <w:t>3</w:t>
            </w:r>
          </w:p>
        </w:tc>
        <w:tc>
          <w:tcPr>
            <w:tcW w:w="196" w:type="pct"/>
            <w:shd w:val="clear" w:color="auto" w:fill="auto"/>
            <w:vAlign w:val="center"/>
          </w:tcPr>
          <w:p>
            <w:pPr>
              <w:jc w:val="center"/>
              <w:rPr>
                <w:rFonts w:ascii="仿宋_GB2312" w:hAnsi="宋体" w:eastAsia="仿宋_GB2312" w:cs="宋体"/>
                <w:color w:val="auto"/>
                <w:sz w:val="22"/>
                <w:szCs w:val="22"/>
                <w:highlight w:val="none"/>
              </w:rPr>
            </w:pPr>
            <w:r>
              <w:rPr>
                <w:rFonts w:hint="eastAsia" w:ascii="仿宋_GB2312" w:hAnsi="宋体" w:eastAsia="仿宋_GB2312" w:cs="宋体"/>
                <w:color w:val="auto"/>
                <w:sz w:val="22"/>
                <w:szCs w:val="22"/>
                <w:highlight w:val="none"/>
              </w:rPr>
              <w:t>工程建设项目招标投标信息</w:t>
            </w:r>
          </w:p>
        </w:tc>
        <w:tc>
          <w:tcPr>
            <w:tcW w:w="282" w:type="pct"/>
            <w:shd w:val="clear" w:color="auto" w:fill="auto"/>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招标公告</w:t>
            </w:r>
          </w:p>
        </w:tc>
        <w:tc>
          <w:tcPr>
            <w:tcW w:w="949" w:type="pct"/>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667" w:type="pct"/>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招标投标法》、《招标投标法实施条例》、《国务院办公厅关于推进公共资源配置领域政府信息公开的意见》、《招标公告和公示信息发布管理办法》、《电子招标投标办法》、《广东省工程建设项目招标投标信息公开目录》</w:t>
            </w:r>
          </w:p>
        </w:tc>
        <w:tc>
          <w:tcPr>
            <w:tcW w:w="38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及时公开</w:t>
            </w:r>
          </w:p>
        </w:tc>
        <w:tc>
          <w:tcPr>
            <w:tcW w:w="31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招标人或者其委托的招标代理机构</w:t>
            </w:r>
          </w:p>
        </w:tc>
        <w:tc>
          <w:tcPr>
            <w:tcW w:w="788"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■招标投标公共服务平台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■公共资源交易平台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■电子招标投标交易平台</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■广东省招标投标监管网</w:t>
            </w:r>
          </w:p>
        </w:tc>
        <w:tc>
          <w:tcPr>
            <w:tcW w:w="152"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48" w:type="pct"/>
            <w:shd w:val="clear" w:color="auto" w:fill="auto"/>
            <w:vAlign w:val="center"/>
          </w:tcPr>
          <w:p>
            <w:pPr>
              <w:jc w:val="center"/>
              <w:rPr>
                <w:rFonts w:ascii="仿宋_GB2312" w:hAnsi="宋体" w:eastAsia="仿宋_GB2312"/>
                <w:color w:val="auto"/>
                <w:sz w:val="22"/>
                <w:szCs w:val="22"/>
                <w:highlight w:val="none"/>
              </w:rPr>
            </w:pPr>
          </w:p>
        </w:tc>
        <w:tc>
          <w:tcPr>
            <w:tcW w:w="147"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66" w:type="pct"/>
            <w:shd w:val="clear" w:color="auto" w:fill="auto"/>
            <w:vAlign w:val="center"/>
          </w:tcPr>
          <w:p>
            <w:pPr>
              <w:jc w:val="center"/>
              <w:rPr>
                <w:rFonts w:ascii="仿宋_GB2312" w:hAnsi="宋体" w:eastAsia="仿宋_GB2312"/>
                <w:color w:val="auto"/>
                <w:sz w:val="22"/>
                <w:szCs w:val="22"/>
                <w:highlight w:val="none"/>
              </w:rPr>
            </w:pPr>
          </w:p>
        </w:tc>
        <w:tc>
          <w:tcPr>
            <w:tcW w:w="192" w:type="pct"/>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248" w:type="pct"/>
            <w:gridSpan w:val="2"/>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225" w:type="pct"/>
            <w:gridSpan w:val="3"/>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7" w:hRule="atLeast"/>
          <w:jc w:val="center"/>
        </w:trPr>
        <w:tc>
          <w:tcPr>
            <w:tcW w:w="144" w:type="pct"/>
            <w:vAlign w:val="center"/>
          </w:tcPr>
          <w:p>
            <w:pPr>
              <w:jc w:val="center"/>
              <w:rPr>
                <w:rFonts w:ascii="仿宋_GB2312" w:hAnsi="宋体" w:eastAsia="仿宋_GB2312" w:cs="宋体"/>
                <w:color w:val="auto"/>
                <w:sz w:val="22"/>
                <w:szCs w:val="22"/>
                <w:highlight w:val="none"/>
              </w:rPr>
            </w:pPr>
            <w:r>
              <w:rPr>
                <w:rFonts w:hint="eastAsia" w:ascii="仿宋_GB2312" w:eastAsia="仿宋_GB2312"/>
                <w:color w:val="auto"/>
                <w:sz w:val="22"/>
                <w:szCs w:val="22"/>
                <w:highlight w:val="none"/>
              </w:rPr>
              <w:t>4</w:t>
            </w:r>
          </w:p>
        </w:tc>
        <w:tc>
          <w:tcPr>
            <w:tcW w:w="196" w:type="pct"/>
            <w:shd w:val="clear" w:color="auto" w:fill="auto"/>
            <w:vAlign w:val="center"/>
          </w:tcPr>
          <w:p>
            <w:pPr>
              <w:jc w:val="center"/>
              <w:rPr>
                <w:rFonts w:ascii="仿宋_GB2312" w:hAnsi="宋体" w:eastAsia="仿宋_GB2312" w:cs="宋体"/>
                <w:color w:val="auto"/>
                <w:sz w:val="22"/>
                <w:szCs w:val="22"/>
                <w:highlight w:val="none"/>
              </w:rPr>
            </w:pPr>
            <w:r>
              <w:rPr>
                <w:rFonts w:hint="eastAsia" w:ascii="仿宋_GB2312" w:hAnsi="宋体" w:eastAsia="仿宋_GB2312" w:cs="宋体"/>
                <w:color w:val="auto"/>
                <w:sz w:val="22"/>
                <w:szCs w:val="22"/>
                <w:highlight w:val="none"/>
              </w:rPr>
              <w:t>工程建设项目招标投标信息</w:t>
            </w:r>
          </w:p>
        </w:tc>
        <w:tc>
          <w:tcPr>
            <w:tcW w:w="282" w:type="pct"/>
            <w:shd w:val="clear" w:color="auto" w:fill="auto"/>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中标候选人公示</w:t>
            </w:r>
          </w:p>
        </w:tc>
        <w:tc>
          <w:tcPr>
            <w:tcW w:w="949" w:type="pct"/>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中标候选人排序、名称、投标报价、质量、工期（交货期），以及评标情况；中标候选人按照招标文件要求承诺的项目负责人姓名及其相关证书名称和编号、个人业绩；中标候选人响应招标文件要求的资格能力条件；提出异议的渠道和方式；</w:t>
            </w:r>
            <w:r>
              <w:rPr>
                <w:rFonts w:hint="eastAsia"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招标文件规定公示的其他内容。</w:t>
            </w:r>
          </w:p>
        </w:tc>
        <w:tc>
          <w:tcPr>
            <w:tcW w:w="667"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投标法》、《招标投标法实施条例》、《国务院办公厅关于推进公共资源配置领域政府信息公开的意见》、《招标公告和公示信息发布管理办法》、《电子招标投标办法》、《广东省工程建设项目招标投标信息公开目录》</w:t>
            </w:r>
          </w:p>
        </w:tc>
        <w:tc>
          <w:tcPr>
            <w:tcW w:w="38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依法必须进行招标的项目，招标人应当自收到评标报告之日起3日内公示中标候选人，公示期不得少于3日</w:t>
            </w:r>
          </w:p>
        </w:tc>
        <w:tc>
          <w:tcPr>
            <w:tcW w:w="31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招标人或者其委托的招标代理机构</w:t>
            </w:r>
          </w:p>
        </w:tc>
        <w:tc>
          <w:tcPr>
            <w:tcW w:w="788"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■招标投标公共服务平台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■公共资源交易平台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■电子招标投标交易平台</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■广东省招标投标监管网</w:t>
            </w:r>
          </w:p>
        </w:tc>
        <w:tc>
          <w:tcPr>
            <w:tcW w:w="152"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48" w:type="pct"/>
            <w:shd w:val="clear" w:color="auto" w:fill="auto"/>
            <w:vAlign w:val="center"/>
          </w:tcPr>
          <w:p>
            <w:pPr>
              <w:jc w:val="center"/>
              <w:rPr>
                <w:rFonts w:ascii="仿宋_GB2312" w:hAnsi="宋体" w:eastAsia="仿宋_GB2312"/>
                <w:color w:val="auto"/>
                <w:sz w:val="22"/>
                <w:szCs w:val="22"/>
                <w:highlight w:val="none"/>
              </w:rPr>
            </w:pPr>
          </w:p>
        </w:tc>
        <w:tc>
          <w:tcPr>
            <w:tcW w:w="147"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66" w:type="pct"/>
            <w:shd w:val="clear" w:color="auto" w:fill="auto"/>
            <w:vAlign w:val="center"/>
          </w:tcPr>
          <w:p>
            <w:pPr>
              <w:jc w:val="center"/>
              <w:rPr>
                <w:rFonts w:ascii="仿宋_GB2312" w:hAnsi="宋体" w:eastAsia="仿宋_GB2312"/>
                <w:color w:val="auto"/>
                <w:sz w:val="22"/>
                <w:szCs w:val="22"/>
                <w:highlight w:val="none"/>
              </w:rPr>
            </w:pPr>
          </w:p>
        </w:tc>
        <w:tc>
          <w:tcPr>
            <w:tcW w:w="192" w:type="pct"/>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248" w:type="pct"/>
            <w:gridSpan w:val="2"/>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225" w:type="pct"/>
            <w:gridSpan w:val="3"/>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5</w:t>
            </w:r>
          </w:p>
        </w:tc>
        <w:tc>
          <w:tcPr>
            <w:tcW w:w="196" w:type="pct"/>
            <w:shd w:val="clear" w:color="auto" w:fill="auto"/>
            <w:vAlign w:val="center"/>
          </w:tcPr>
          <w:p>
            <w:pPr>
              <w:jc w:val="center"/>
              <w:rPr>
                <w:rFonts w:ascii="仿宋_GB2312" w:hAnsi="宋体" w:eastAsia="仿宋_GB2312" w:cs="宋体"/>
                <w:color w:val="auto"/>
                <w:sz w:val="22"/>
                <w:szCs w:val="22"/>
                <w:highlight w:val="none"/>
              </w:rPr>
            </w:pPr>
            <w:r>
              <w:rPr>
                <w:rFonts w:hint="eastAsia" w:ascii="仿宋_GB2312" w:hAnsi="宋体" w:eastAsia="仿宋_GB2312" w:cs="宋体"/>
                <w:color w:val="auto"/>
                <w:sz w:val="22"/>
                <w:szCs w:val="22"/>
                <w:highlight w:val="none"/>
              </w:rPr>
              <w:t>工程建设项目招标投标信息</w:t>
            </w:r>
          </w:p>
        </w:tc>
        <w:tc>
          <w:tcPr>
            <w:tcW w:w="282" w:type="pct"/>
            <w:shd w:val="clear" w:color="auto" w:fill="auto"/>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中标结果</w:t>
            </w:r>
          </w:p>
        </w:tc>
        <w:tc>
          <w:tcPr>
            <w:tcW w:w="949" w:type="pct"/>
            <w:vAlign w:val="center"/>
          </w:tcPr>
          <w:p>
            <w:pPr>
              <w:rPr>
                <w:rFonts w:ascii="仿宋_GB2312" w:hAnsi="宋体" w:eastAsia="仿宋_GB2312" w:cs="宋体"/>
                <w:color w:val="auto"/>
                <w:sz w:val="22"/>
                <w:szCs w:val="22"/>
                <w:highlight w:val="none"/>
              </w:rPr>
            </w:pPr>
            <w:r>
              <w:rPr>
                <w:rFonts w:hint="eastAsia" w:ascii="仿宋_GB2312" w:hAnsi="宋体" w:eastAsia="仿宋_GB2312"/>
                <w:color w:val="auto"/>
                <w:sz w:val="22"/>
                <w:szCs w:val="22"/>
                <w:highlight w:val="none"/>
              </w:rPr>
              <w:t>招标项目名称、中标人名称、中标价、工期、项目负责人、中标内容。</w:t>
            </w:r>
          </w:p>
        </w:tc>
        <w:tc>
          <w:tcPr>
            <w:tcW w:w="667"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《国务院办公厅关于推进公共资源配置领域政府信息公开的意见》、《招标公告和公示信息发布管理办法》、《电子招标投标办法》、《广东省工程建设项目招标投标信息公开目录》</w:t>
            </w:r>
          </w:p>
        </w:tc>
        <w:tc>
          <w:tcPr>
            <w:tcW w:w="38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及时公开</w:t>
            </w:r>
          </w:p>
        </w:tc>
        <w:tc>
          <w:tcPr>
            <w:tcW w:w="313"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招标人或者其委托的招标代理机构</w:t>
            </w:r>
          </w:p>
        </w:tc>
        <w:tc>
          <w:tcPr>
            <w:tcW w:w="788"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■招标投标公共服务平台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■公共资源交易平台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■电子招标投标交易平台</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■广东省招标投标监管网</w:t>
            </w:r>
          </w:p>
        </w:tc>
        <w:tc>
          <w:tcPr>
            <w:tcW w:w="152"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48" w:type="pct"/>
            <w:shd w:val="clear" w:color="auto" w:fill="auto"/>
            <w:vAlign w:val="center"/>
          </w:tcPr>
          <w:p>
            <w:pPr>
              <w:jc w:val="center"/>
              <w:rPr>
                <w:rFonts w:ascii="仿宋_GB2312" w:hAnsi="宋体" w:eastAsia="仿宋_GB2312"/>
                <w:color w:val="auto"/>
                <w:sz w:val="22"/>
                <w:szCs w:val="22"/>
                <w:highlight w:val="none"/>
              </w:rPr>
            </w:pPr>
          </w:p>
        </w:tc>
        <w:tc>
          <w:tcPr>
            <w:tcW w:w="147"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66" w:type="pct"/>
            <w:shd w:val="clear" w:color="auto" w:fill="auto"/>
            <w:vAlign w:val="center"/>
          </w:tcPr>
          <w:p>
            <w:pPr>
              <w:jc w:val="center"/>
              <w:rPr>
                <w:rFonts w:ascii="仿宋_GB2312" w:hAnsi="宋体" w:eastAsia="仿宋_GB2312"/>
                <w:color w:val="auto"/>
                <w:sz w:val="22"/>
                <w:szCs w:val="22"/>
                <w:highlight w:val="none"/>
              </w:rPr>
            </w:pPr>
          </w:p>
        </w:tc>
        <w:tc>
          <w:tcPr>
            <w:tcW w:w="221" w:type="pct"/>
            <w:gridSpan w:val="2"/>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222" w:type="pct"/>
            <w:gridSpan w:val="2"/>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222" w:type="pct"/>
            <w:gridSpan w:val="2"/>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6</w:t>
            </w:r>
          </w:p>
        </w:tc>
        <w:tc>
          <w:tcPr>
            <w:tcW w:w="196" w:type="pct"/>
            <w:shd w:val="clear" w:color="auto" w:fill="auto"/>
            <w:vAlign w:val="center"/>
          </w:tcPr>
          <w:p>
            <w:pPr>
              <w:jc w:val="center"/>
              <w:rPr>
                <w:rFonts w:ascii="仿宋_GB2312" w:hAnsi="宋体" w:eastAsia="仿宋_GB2312" w:cs="宋体"/>
                <w:color w:val="auto"/>
                <w:sz w:val="22"/>
                <w:szCs w:val="22"/>
                <w:highlight w:val="none"/>
              </w:rPr>
            </w:pPr>
            <w:r>
              <w:rPr>
                <w:rFonts w:hint="eastAsia" w:ascii="仿宋_GB2312" w:hAnsi="宋体" w:eastAsia="仿宋_GB2312" w:cs="宋体"/>
                <w:color w:val="auto"/>
                <w:sz w:val="22"/>
                <w:szCs w:val="22"/>
                <w:highlight w:val="none"/>
              </w:rPr>
              <w:t>工程建设项目招标投标信息</w:t>
            </w:r>
          </w:p>
        </w:tc>
        <w:tc>
          <w:tcPr>
            <w:tcW w:w="282" w:type="pct"/>
            <w:shd w:val="clear" w:color="auto" w:fill="auto"/>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合同订立及履行信息</w:t>
            </w:r>
          </w:p>
        </w:tc>
        <w:tc>
          <w:tcPr>
            <w:tcW w:w="949" w:type="pct"/>
            <w:shd w:val="clear" w:color="auto" w:fill="auto"/>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招标人及中标人名称及社会代码、合同签订人或其委托人全称；合同金额及合同单位；合同签署时间及合同期限；质量要求；合同其他主要内容；其他依法应当载明的内容。</w:t>
            </w:r>
          </w:p>
        </w:tc>
        <w:tc>
          <w:tcPr>
            <w:tcW w:w="667"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《国务院办公厅关于推进公共资源配置领域政府信息公开的意见》、《电子招标投标办法》《江门市工程建设项目招标投标信息公开目录》</w:t>
            </w:r>
          </w:p>
        </w:tc>
        <w:tc>
          <w:tcPr>
            <w:tcW w:w="383"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自合同签订后的20日内发布</w:t>
            </w:r>
          </w:p>
        </w:tc>
        <w:tc>
          <w:tcPr>
            <w:tcW w:w="313"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合同当事人</w:t>
            </w:r>
          </w:p>
        </w:tc>
        <w:tc>
          <w:tcPr>
            <w:tcW w:w="788" w:type="pct"/>
            <w:shd w:val="clear" w:color="auto" w:fill="auto"/>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■招标投标公共服务平台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■公共资源交易平台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■电子招标投标交易平台</w:t>
            </w:r>
          </w:p>
        </w:tc>
        <w:tc>
          <w:tcPr>
            <w:tcW w:w="152"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48" w:type="pct"/>
            <w:shd w:val="clear" w:color="auto" w:fill="auto"/>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　</w:t>
            </w:r>
          </w:p>
        </w:tc>
        <w:tc>
          <w:tcPr>
            <w:tcW w:w="147"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66" w:type="pct"/>
            <w:shd w:val="clear" w:color="auto" w:fill="auto"/>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　</w:t>
            </w:r>
          </w:p>
        </w:tc>
        <w:tc>
          <w:tcPr>
            <w:tcW w:w="221" w:type="pct"/>
            <w:gridSpan w:val="2"/>
            <w:shd w:val="clear" w:color="auto" w:fill="auto"/>
            <w:vAlign w:val="center"/>
          </w:tcPr>
          <w:p>
            <w:pPr>
              <w:jc w:val="center"/>
              <w:rPr>
                <w:color w:val="auto"/>
                <w:sz w:val="22"/>
                <w:szCs w:val="22"/>
                <w:highlight w:val="none"/>
              </w:rPr>
            </w:pPr>
            <w:r>
              <w:rPr>
                <w:rFonts w:hint="eastAsia"/>
                <w:color w:val="auto"/>
                <w:sz w:val="22"/>
                <w:szCs w:val="22"/>
                <w:highlight w:val="none"/>
              </w:rPr>
              <w:t>√</w:t>
            </w:r>
          </w:p>
        </w:tc>
        <w:tc>
          <w:tcPr>
            <w:tcW w:w="222" w:type="pct"/>
            <w:gridSpan w:val="2"/>
            <w:shd w:val="clear" w:color="auto" w:fill="auto"/>
            <w:vAlign w:val="center"/>
          </w:tcPr>
          <w:p>
            <w:pPr>
              <w:jc w:val="center"/>
              <w:rPr>
                <w:color w:val="auto"/>
                <w:sz w:val="22"/>
                <w:szCs w:val="22"/>
                <w:highlight w:val="none"/>
              </w:rPr>
            </w:pPr>
            <w:r>
              <w:rPr>
                <w:rFonts w:hint="eastAsia"/>
                <w:color w:val="auto"/>
                <w:sz w:val="22"/>
                <w:szCs w:val="22"/>
                <w:highlight w:val="none"/>
              </w:rPr>
              <w:t>√</w:t>
            </w:r>
          </w:p>
        </w:tc>
        <w:tc>
          <w:tcPr>
            <w:tcW w:w="222" w:type="pct"/>
            <w:gridSpan w:val="2"/>
            <w:shd w:val="clear" w:color="auto" w:fill="auto"/>
            <w:vAlign w:val="center"/>
          </w:tcPr>
          <w:p>
            <w:pPr>
              <w:jc w:val="center"/>
              <w:rPr>
                <w:color w:val="auto"/>
                <w:sz w:val="22"/>
                <w:szCs w:val="22"/>
                <w:highlight w:val="none"/>
              </w:rPr>
            </w:pPr>
            <w:r>
              <w:rPr>
                <w:rFonts w:hint="eastAsia"/>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9" w:hRule="atLeast"/>
          <w:jc w:val="center"/>
        </w:trPr>
        <w:tc>
          <w:tcPr>
            <w:tcW w:w="144" w:type="pct"/>
            <w:vAlign w:val="center"/>
          </w:tcPr>
          <w:p>
            <w:pPr>
              <w:jc w:val="cente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7</w:t>
            </w:r>
          </w:p>
        </w:tc>
        <w:tc>
          <w:tcPr>
            <w:tcW w:w="196"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工程建设项目招标投标信息</w:t>
            </w:r>
          </w:p>
        </w:tc>
        <w:tc>
          <w:tcPr>
            <w:tcW w:w="282" w:type="pct"/>
            <w:shd w:val="clear" w:color="auto" w:fill="auto"/>
            <w:vAlign w:val="center"/>
          </w:tcPr>
          <w:p>
            <w:pP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资格预审文件、招标文件澄清或修改</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按项目实际要求发布</w:t>
            </w:r>
          </w:p>
          <w:p>
            <w:pPr>
              <w:rPr>
                <w:rFonts w:ascii="仿宋_GB2312" w:hAnsi="宋体" w:eastAsia="仿宋_GB2312"/>
                <w:color w:val="auto"/>
                <w:sz w:val="22"/>
                <w:szCs w:val="22"/>
                <w:highlight w:val="none"/>
              </w:rPr>
            </w:pPr>
          </w:p>
        </w:tc>
        <w:tc>
          <w:tcPr>
            <w:tcW w:w="667" w:type="pct"/>
            <w:vAlign w:val="center"/>
          </w:tcPr>
          <w:p>
            <w:pP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《招标投标法》、《招标投标法实施条例》、《电子招标投标办法》、《招标公告和公示信息发布管理办法》、</w:t>
            </w:r>
            <w:r>
              <w:rPr>
                <w:rFonts w:hint="eastAsia" w:ascii="仿宋_GB2312" w:hAnsi="宋体" w:eastAsia="仿宋_GB2312"/>
                <w:color w:val="auto"/>
                <w:sz w:val="22"/>
                <w:szCs w:val="22"/>
                <w:highlight w:val="none"/>
              </w:rPr>
              <w:t>《广东省工程建设项目招标投标信息公开目录》</w:t>
            </w:r>
          </w:p>
        </w:tc>
        <w:tc>
          <w:tcPr>
            <w:tcW w:w="383" w:type="pct"/>
            <w:vAlign w:val="center"/>
          </w:tcPr>
          <w:p>
            <w:pP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依法必须进行招标的项目，澄清或者修改的内容可能影响资格预审申请文件或者投标文件编制的，应当在提交资格预审申请文件截止时间至少3日前，或者投标截止时间至少15日前</w:t>
            </w:r>
          </w:p>
        </w:tc>
        <w:tc>
          <w:tcPr>
            <w:tcW w:w="313" w:type="pct"/>
            <w:vAlign w:val="center"/>
          </w:tcPr>
          <w:p>
            <w:pP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招标人或者其委托的招标代理机构</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招标投标公共服务平台</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公共资源交易平台</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电子招标投标交易平台</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■广东省招标投标监管网</w:t>
            </w:r>
          </w:p>
        </w:tc>
        <w:tc>
          <w:tcPr>
            <w:tcW w:w="152"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hAnsi="宋体" w:eastAsia="仿宋_GB2312"/>
                <w:color w:val="auto"/>
                <w:sz w:val="22"/>
                <w:szCs w:val="22"/>
                <w:highlight w:val="none"/>
              </w:rPr>
            </w:pPr>
          </w:p>
        </w:tc>
        <w:tc>
          <w:tcPr>
            <w:tcW w:w="147"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hAnsi="宋体" w:eastAsia="仿宋_GB2312"/>
                <w:color w:val="auto"/>
                <w:sz w:val="22"/>
                <w:szCs w:val="22"/>
                <w:highlight w:val="none"/>
              </w:rPr>
            </w:pPr>
          </w:p>
        </w:tc>
        <w:tc>
          <w:tcPr>
            <w:tcW w:w="221" w:type="pct"/>
            <w:gridSpan w:val="2"/>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222" w:type="pct"/>
            <w:gridSpan w:val="2"/>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222" w:type="pct"/>
            <w:gridSpan w:val="2"/>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144" w:type="pct"/>
            <w:vAlign w:val="center"/>
          </w:tcPr>
          <w:p>
            <w:pPr>
              <w:jc w:val="center"/>
              <w:rPr>
                <w:rFonts w:ascii="仿宋_GB2312" w:hAnsi="宋体" w:eastAsia="仿宋_GB2312" w:cs="宋体"/>
                <w:color w:val="auto"/>
                <w:sz w:val="22"/>
                <w:szCs w:val="22"/>
                <w:highlight w:val="none"/>
              </w:rPr>
            </w:pPr>
            <w:r>
              <w:rPr>
                <w:rFonts w:hint="eastAsia" w:ascii="仿宋_GB2312" w:hAnsi="宋体" w:eastAsia="仿宋_GB2312" w:cs="宋体"/>
                <w:color w:val="auto"/>
                <w:sz w:val="22"/>
                <w:szCs w:val="22"/>
                <w:highlight w:val="none"/>
              </w:rPr>
              <w:t>8</w:t>
            </w:r>
          </w:p>
        </w:tc>
        <w:tc>
          <w:tcPr>
            <w:tcW w:w="196"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工程建设项目招标投标信息</w:t>
            </w:r>
          </w:p>
        </w:tc>
        <w:tc>
          <w:tcPr>
            <w:tcW w:w="282" w:type="pct"/>
            <w:shd w:val="clear" w:color="auto" w:fill="auto"/>
            <w:vAlign w:val="center"/>
          </w:tcPr>
          <w:p>
            <w:pP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招标公告和公示信息澄清、修改</w:t>
            </w:r>
          </w:p>
        </w:tc>
        <w:tc>
          <w:tcPr>
            <w:tcW w:w="949" w:type="pct"/>
            <w:vAlign w:val="center"/>
          </w:tcPr>
          <w:p>
            <w:pP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按项目实际要求发布</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《招标投标法》、《招标投标法实施条例》、《电子招标投标办法》、《招标公告和公示信息发布管理办法》、</w:t>
            </w:r>
            <w:r>
              <w:rPr>
                <w:rFonts w:hint="eastAsia" w:ascii="仿宋_GB2312" w:hAnsi="宋体" w:eastAsia="仿宋_GB2312"/>
                <w:color w:val="auto"/>
                <w:sz w:val="22"/>
                <w:szCs w:val="22"/>
                <w:highlight w:val="none"/>
              </w:rPr>
              <w:t>《广东省工程建设项目招标投标信息公开目录》</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招标人或者其委托的招标代理机构</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■招标投标公共服务平台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■电子招标投标交易平台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■公共资源交易平台</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■广东省招标投标监管网</w:t>
            </w:r>
          </w:p>
        </w:tc>
        <w:tc>
          <w:tcPr>
            <w:tcW w:w="152"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hAnsi="宋体" w:eastAsia="仿宋_GB2312"/>
                <w:color w:val="auto"/>
                <w:sz w:val="22"/>
                <w:szCs w:val="22"/>
                <w:highlight w:val="none"/>
              </w:rPr>
            </w:pPr>
          </w:p>
        </w:tc>
        <w:tc>
          <w:tcPr>
            <w:tcW w:w="147" w:type="pct"/>
            <w:shd w:val="clear" w:color="auto" w:fill="auto"/>
            <w:vAlign w:val="center"/>
          </w:tcPr>
          <w:p>
            <w:pPr>
              <w:jc w:val="cente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hAnsi="宋体" w:eastAsia="仿宋_GB2312"/>
                <w:color w:val="auto"/>
                <w:sz w:val="22"/>
                <w:szCs w:val="22"/>
                <w:highlight w:val="none"/>
              </w:rPr>
            </w:pPr>
          </w:p>
        </w:tc>
        <w:tc>
          <w:tcPr>
            <w:tcW w:w="192" w:type="pct"/>
            <w:vAlign w:val="center"/>
          </w:tcPr>
          <w:p>
            <w:pPr>
              <w:jc w:val="cente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9</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工程建设项目招标投标信息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暂停、终止招标</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按项目实际要求发布</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《招标投标法》、《招标投标法实施条例》、《电子招标投标办法》、《招标公告和公示信息发布管理办法》、</w:t>
            </w:r>
            <w:r>
              <w:rPr>
                <w:rFonts w:hint="eastAsia" w:ascii="仿宋_GB2312" w:hAnsi="宋体" w:eastAsia="仿宋_GB2312"/>
                <w:color w:val="auto"/>
                <w:sz w:val="22"/>
                <w:szCs w:val="22"/>
                <w:highlight w:val="none"/>
              </w:rPr>
              <w:t>《广东省工程建设项目招标投标信息公开目录》</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招标人或者其委托的招标代理机构</w:t>
            </w:r>
          </w:p>
        </w:tc>
        <w:tc>
          <w:tcPr>
            <w:tcW w:w="788"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■招标投标公共服务平台</w:t>
            </w:r>
          </w:p>
          <w:p>
            <w:pPr>
              <w:rPr>
                <w:rFonts w:ascii="仿宋_GB2312" w:eastAsia="仿宋_GB2312"/>
                <w:color w:val="auto"/>
                <w:sz w:val="22"/>
                <w:szCs w:val="22"/>
                <w:highlight w:val="none"/>
              </w:rPr>
            </w:pPr>
            <w:r>
              <w:rPr>
                <w:rFonts w:hint="eastAsia" w:ascii="仿宋_GB2312" w:eastAsia="仿宋_GB2312"/>
                <w:color w:val="auto"/>
                <w:sz w:val="22"/>
                <w:szCs w:val="22"/>
                <w:highlight w:val="none"/>
              </w:rPr>
              <w:t>■电子招标投标交易平台</w:t>
            </w:r>
          </w:p>
          <w:p>
            <w:pPr>
              <w:rPr>
                <w:rFonts w:ascii="仿宋_GB2312" w:eastAsia="仿宋_GB2312"/>
                <w:color w:val="auto"/>
                <w:sz w:val="22"/>
                <w:szCs w:val="22"/>
                <w:highlight w:val="none"/>
              </w:rPr>
            </w:pPr>
            <w:r>
              <w:rPr>
                <w:rFonts w:hint="eastAsia" w:ascii="仿宋_GB2312" w:eastAsia="仿宋_GB2312"/>
                <w:color w:val="auto"/>
                <w:sz w:val="22"/>
                <w:szCs w:val="22"/>
                <w:highlight w:val="none"/>
              </w:rPr>
              <w:t>■公共资源交易平台</w:t>
            </w:r>
          </w:p>
          <w:p>
            <w:pPr>
              <w:rPr>
                <w:rFonts w:ascii="仿宋_GB2312" w:eastAsia="仿宋_GB2312"/>
                <w:color w:val="auto"/>
                <w:sz w:val="22"/>
                <w:szCs w:val="22"/>
                <w:highlight w:val="none"/>
              </w:rPr>
            </w:pPr>
            <w:r>
              <w:rPr>
                <w:rFonts w:hint="eastAsia" w:ascii="仿宋_GB2312" w:eastAsia="仿宋_GB2312"/>
                <w:color w:val="auto"/>
                <w:sz w:val="22"/>
                <w:szCs w:val="22"/>
                <w:highlight w:val="none"/>
              </w:rPr>
              <w:t>■广东省招标投标监管网</w:t>
            </w:r>
          </w:p>
          <w:p>
            <w:pPr>
              <w:rPr>
                <w:rFonts w:ascii="仿宋_GB2312" w:eastAsia="仿宋_GB2312"/>
                <w:color w:val="auto"/>
                <w:sz w:val="22"/>
                <w:szCs w:val="22"/>
                <w:highlight w:val="none"/>
              </w:rPr>
            </w:pPr>
            <w:r>
              <w:rPr>
                <w:rFonts w:hint="eastAsia" w:ascii="仿宋_GB2312" w:eastAsia="仿宋_GB2312"/>
                <w:color w:val="auto"/>
                <w:sz w:val="22"/>
                <w:szCs w:val="22"/>
                <w:highlight w:val="none"/>
              </w:rPr>
              <w:t>■公共资源交易平台</w:t>
            </w:r>
          </w:p>
          <w:p>
            <w:pPr>
              <w:rPr>
                <w:rFonts w:ascii="仿宋_GB2312" w:eastAsia="仿宋_GB2312"/>
                <w:color w:val="auto"/>
                <w:sz w:val="22"/>
                <w:szCs w:val="22"/>
                <w:highlight w:val="none"/>
              </w:rPr>
            </w:pPr>
            <w:r>
              <w:rPr>
                <w:rFonts w:hint="eastAsia" w:ascii="仿宋_GB2312" w:eastAsia="仿宋_GB2312"/>
                <w:color w:val="auto"/>
                <w:sz w:val="22"/>
                <w:szCs w:val="22"/>
                <w:highlight w:val="none"/>
              </w:rPr>
              <w:t>■信用中国</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8"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10</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工程建设项目招标投标信息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市场主体信用信息</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《行政处罚法》、《政府信息公开条例》、《国务院办公厅关于推进公共资源配置领域政府信息公开的意见》</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信息形成之日起20个工作日内</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负责管理的部门分别公开</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■公共资源交易平台</w:t>
            </w:r>
            <w:r>
              <w:rPr>
                <w:rFonts w:hint="eastAsia"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■信用中国</w:t>
            </w:r>
          </w:p>
        </w:tc>
        <w:tc>
          <w:tcPr>
            <w:tcW w:w="15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rPr>
                <w:rFonts w:ascii="仿宋_GB2312" w:eastAsia="仿宋_GB2312"/>
                <w:color w:val="auto"/>
                <w:sz w:val="22"/>
                <w:szCs w:val="22"/>
                <w:highlight w:val="none"/>
              </w:rPr>
            </w:pPr>
          </w:p>
        </w:tc>
        <w:tc>
          <w:tcPr>
            <w:tcW w:w="147"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　</w:t>
            </w:r>
          </w:p>
        </w:tc>
        <w:tc>
          <w:tcPr>
            <w:tcW w:w="192" w:type="pct"/>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8"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11</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政府采购货物和服务招标投标管理办法》、《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及时公开，公告期限为5个工作日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采购人或者其委托的采购代理机构</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中国政府采购网</w:t>
            </w:r>
          </w:p>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省级（含计划单列市）财政部门指定的媒体</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■江门市</w:t>
            </w:r>
            <w:r>
              <w:rPr>
                <w:rFonts w:hint="eastAsia" w:ascii="仿宋_GB2312" w:eastAsia="仿宋_GB2312"/>
                <w:color w:val="auto"/>
                <w:sz w:val="22"/>
                <w:szCs w:val="22"/>
                <w:highlight w:val="none"/>
              </w:rPr>
              <w:t>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12</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资格预审公告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政府采购货物和服务招标投标管理办法》、《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及时公开，公告期限为5个工作日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采购人或者其委托的采购代理机构</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省级（含计划单列市）财政部门指定的媒体</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■江门市</w:t>
            </w:r>
            <w:r>
              <w:rPr>
                <w:rFonts w:hint="eastAsia" w:ascii="仿宋_GB2312" w:eastAsia="仿宋_GB2312"/>
                <w:color w:val="auto"/>
                <w:sz w:val="22"/>
                <w:szCs w:val="22"/>
                <w:highlight w:val="none"/>
              </w:rPr>
              <w:t>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13</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竞争性谈判公告、竞争性磋商公告和询价公告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及时公开，公告期限为3个工作日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采购人或者其委托的采购代理机构</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■江门市公共资源交易平台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9"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14</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采购项目预算金额</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《国务院办公厅关于推进公共资源配置领域政府信息公开的意见》、《财政部关于做好政府采购信息公开工作的通知》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随采购公告、采购文件公开</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采购人或者其委托的采购代理机构</w:t>
            </w:r>
          </w:p>
        </w:tc>
        <w:tc>
          <w:tcPr>
            <w:tcW w:w="788"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■中国政府采购网</w:t>
            </w:r>
          </w:p>
          <w:p>
            <w:pPr>
              <w:rPr>
                <w:rFonts w:ascii="仿宋_GB2312" w:eastAsia="仿宋_GB2312"/>
                <w:color w:val="auto"/>
                <w:sz w:val="22"/>
                <w:szCs w:val="22"/>
                <w:highlight w:val="none"/>
              </w:rPr>
            </w:pPr>
            <w:r>
              <w:rPr>
                <w:rFonts w:hint="eastAsia" w:ascii="仿宋_GB2312" w:eastAsia="仿宋_GB2312"/>
                <w:color w:val="auto"/>
                <w:sz w:val="22"/>
                <w:szCs w:val="22"/>
                <w:highlight w:val="none"/>
              </w:rPr>
              <w:t>■省级（含计划单列市）财政部门指定的媒体</w:t>
            </w:r>
          </w:p>
          <w:p>
            <w:pPr>
              <w:rPr>
                <w:rFonts w:ascii="仿宋_GB2312" w:eastAsia="仿宋_GB2312"/>
                <w:color w:val="auto"/>
                <w:sz w:val="22"/>
                <w:szCs w:val="22"/>
                <w:highlight w:val="none"/>
              </w:rPr>
            </w:pPr>
            <w:r>
              <w:rPr>
                <w:rFonts w:hint="eastAsia" w:ascii="仿宋_GB2312" w:eastAsia="仿宋_GB2312"/>
                <w:color w:val="auto"/>
                <w:sz w:val="22"/>
                <w:szCs w:val="22"/>
                <w:highlight w:val="none"/>
              </w:rPr>
              <w:t>■江门市公共资源交易平台</w:t>
            </w:r>
          </w:p>
          <w:p>
            <w:pPr>
              <w:rPr>
                <w:rFonts w:ascii="仿宋_GB2312" w:eastAsia="仿宋_GB2312"/>
                <w:color w:val="auto"/>
                <w:sz w:val="22"/>
                <w:szCs w:val="22"/>
                <w:highlight w:val="none"/>
              </w:rPr>
            </w:pP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5"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15</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采购文件</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招标文件、竞争性谈判文件、竞争性磋商文件和询价通知书。</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《国务院办公厅关于推进公共资源配置领域政府信息公开的意见》、《财政部关于做好政府采购信息公开工作的通知》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随中标、成交结果同时公告。中标、成交结果公告前采购文件已公告的，不再重复公告</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采购人或者其委托的采购代理机构</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spacing w:line="240" w:lineRule="exact"/>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■江门市公共资源交易平台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16</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采购信息更正公告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采购人和采购代理机构名称、地址、联系方式；原公告的采购项目名称及首次公告日期；更正事项、内容及日期；采购项目联系人和电话。</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投标截止时间至少15日前、提交资格预审申请文件截止时间至少3日前，或者提交首次响应文件截止之日3个工作日前</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采购人或者其委托的采购代理机构</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■江门市公共资源交易平台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8"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17</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单一来源公示</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及时公开，公示期限不得少于5个工作日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采购人或者其委托的采购代理机构</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■江门市公共资源交易平台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18</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协议供货和定点采购的具体成交记录</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采购人和成交供应商的名称、成交金额以及成交标的的名称、规格型号、数量、单价等。电子卖场、电子商城、网上超市等的具体成交记录，也应当予以公开。</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《关于进一步做好政府采购信息公开工作有关事项的通知》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集中采购机构(省级)</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tc>
        <w:tc>
          <w:tcPr>
            <w:tcW w:w="152" w:type="pct"/>
            <w:shd w:val="clear" w:color="auto" w:fill="auto"/>
            <w:vAlign w:val="center"/>
          </w:tcPr>
          <w:p>
            <w:pPr>
              <w:spacing w:line="240" w:lineRule="exact"/>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19</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中标、成交结果</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自中标、成交供应商确定之日起2个工作日内公告，公告期限为1个工作日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采购人或者其委托的采购代理机构</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■江门市公共资源交易平台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20</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采购合同</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采购人和采购代理机构名称、地址、联系方式；采购项目名称、编号，合同编号；供应商名称；合同内容。</w:t>
            </w:r>
            <w:r>
              <w:rPr>
                <w:rFonts w:hint="eastAsia" w:ascii="仿宋_GB2312" w:eastAsia="仿宋_GB2312"/>
                <w:color w:val="auto"/>
                <w:sz w:val="22"/>
                <w:szCs w:val="22"/>
                <w:highlight w:val="none"/>
              </w:rPr>
              <w:br w:type="textWrapping"/>
            </w:r>
            <w:r>
              <w:rPr>
                <w:rFonts w:hint="eastAsia" w:ascii="仿宋_GB2312" w:eastAsia="仿宋_GB2312"/>
                <w:color w:val="auto"/>
                <w:sz w:val="22"/>
                <w:szCs w:val="22"/>
                <w:highlight w:val="none"/>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合同签订之日起2个工作日内</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■公共资源交易平台</w:t>
            </w:r>
          </w:p>
        </w:tc>
        <w:tc>
          <w:tcPr>
            <w:tcW w:w="152" w:type="pct"/>
            <w:shd w:val="clear" w:color="auto" w:fill="auto"/>
            <w:vAlign w:val="center"/>
          </w:tcPr>
          <w:p>
            <w:pPr>
              <w:spacing w:line="240" w:lineRule="exact"/>
              <w:jc w:val="cente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9"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21</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终止公告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采购人和采购代理机构名称、地址、联系方式；采购项目名称、采购编号，采购方式；采购项目终止原因；公告期限；采购项目联系人和电话。</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采购人或者其委托的采购代理机构</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spacing w:line="240" w:lineRule="exact"/>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■江门市公共资源交易平台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22</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公共服务项目采购需求</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采购对象需实现的功能或者目标，满足项目需要的所有技术、服务、安全等要求，采购对象的数量、交付或实施的时间和地点，采购对象的验收标准等。</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《财政部关于做好政府采购信息公开工作的通知》、《关于进一步加强政府采购需求和履约验收管理的指导意见》</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■江门市公共资源交易平台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23</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公共服务项目验收结果</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采购人和采购代理机构名称、地址、联系方式；采购项目名称、编号，合同编号；履约供应商名称；验收单位；验收结果；验收人员。</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验收结束之日起2个工作日内</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采购人</w:t>
            </w:r>
          </w:p>
        </w:tc>
        <w:tc>
          <w:tcPr>
            <w:tcW w:w="788" w:type="pc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■江门市公共资源交易平台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3"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24</w:t>
            </w:r>
          </w:p>
        </w:tc>
        <w:tc>
          <w:tcPr>
            <w:tcW w:w="196" w:type="pct"/>
            <w:shd w:val="clear" w:color="auto" w:fill="auto"/>
            <w:vAlign w:val="center"/>
          </w:tcPr>
          <w:p>
            <w:pPr>
              <w:jc w:val="center"/>
              <w:rPr>
                <w:rFonts w:ascii="仿宋_GB2312" w:eastAsia="仿宋_GB2312"/>
                <w:color w:val="auto"/>
                <w:sz w:val="22"/>
                <w:szCs w:val="22"/>
                <w:highlight w:val="none"/>
              </w:rPr>
            </w:pPr>
          </w:p>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投诉、监督检查等处理决定公告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相关当事人名称及地址、投诉涉及采购项目名称及采购日期、投诉事项或监督检查主要事项、处理依据、处理结果、执法机关名称、公告日期等。</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完成并履行有关报审程序后5个工作日内</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财政部门</w:t>
            </w:r>
          </w:p>
        </w:tc>
        <w:tc>
          <w:tcPr>
            <w:tcW w:w="788" w:type="pct"/>
            <w:vMerge w:val="restart"/>
            <w:vAlign w:val="center"/>
          </w:tcPr>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■中国政府采购网</w:t>
            </w:r>
          </w:p>
          <w:p>
            <w:pPr>
              <w:spacing w:line="240" w:lineRule="exact"/>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■省级（含计划单列市）财政部门指定的媒体</w:t>
            </w:r>
          </w:p>
          <w:p>
            <w:pPr>
              <w:spacing w:line="240" w:lineRule="exact"/>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■江门市公共资源交易平台</w:t>
            </w:r>
            <w:r>
              <w:rPr>
                <w:rFonts w:ascii="仿宋_GB2312" w:hAnsi="宋体" w:eastAsia="仿宋_GB2312"/>
                <w:color w:val="auto"/>
                <w:sz w:val="22"/>
                <w:szCs w:val="22"/>
                <w:highlight w:val="none"/>
              </w:rPr>
              <w:br w:type="textWrapping"/>
            </w:r>
            <w:r>
              <w:rPr>
                <w:rFonts w:hint="eastAsia" w:ascii="仿宋_GB2312" w:hAnsi="宋体" w:eastAsia="仿宋_GB2312"/>
                <w:color w:val="auto"/>
                <w:sz w:val="22"/>
                <w:szCs w:val="22"/>
                <w:highlight w:val="none"/>
              </w:rPr>
              <w:t>■信用中国</w:t>
            </w:r>
          </w:p>
        </w:tc>
        <w:tc>
          <w:tcPr>
            <w:tcW w:w="152" w:type="pct"/>
            <w:shd w:val="clear" w:color="auto" w:fill="auto"/>
            <w:vAlign w:val="center"/>
          </w:tcPr>
          <w:p>
            <w:pPr>
              <w:spacing w:line="240" w:lineRule="exact"/>
              <w:jc w:val="center"/>
              <w:rPr>
                <w:rFonts w:ascii="仿宋_GB2312" w:hAnsi="宋体"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25</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政府采购信息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集中采购机构的考核结果公告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集中采购机构名称、考核内容、考核方法、考核结果、存在问题、考核单位等。</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同上</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完成并履行有关报审程序后5个工作日内</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财政部门</w:t>
            </w:r>
          </w:p>
        </w:tc>
        <w:tc>
          <w:tcPr>
            <w:tcW w:w="788" w:type="pct"/>
            <w:vMerge w:val="continue"/>
            <w:vAlign w:val="center"/>
          </w:tcPr>
          <w:p>
            <w:pPr>
              <w:rPr>
                <w:rFonts w:ascii="仿宋_GB2312" w:eastAsia="仿宋_GB2312"/>
                <w:color w:val="auto"/>
                <w:sz w:val="22"/>
                <w:szCs w:val="22"/>
                <w:highlight w:val="none"/>
              </w:rPr>
            </w:pP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1"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26</w:t>
            </w:r>
          </w:p>
        </w:tc>
        <w:tc>
          <w:tcPr>
            <w:tcW w:w="196" w:type="pct"/>
            <w:vMerge w:val="restar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国有土地使用权出让信息</w:t>
            </w:r>
          </w:p>
        </w:tc>
        <w:tc>
          <w:tcPr>
            <w:tcW w:w="282" w:type="pct"/>
            <w:shd w:val="clear" w:color="auto" w:fill="auto"/>
            <w:vAlign w:val="center"/>
          </w:tcPr>
          <w:p>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土地出让计划</w:t>
            </w:r>
          </w:p>
        </w:tc>
        <w:tc>
          <w:tcPr>
            <w:tcW w:w="949" w:type="pct"/>
            <w:vAlign w:val="center"/>
          </w:tcPr>
          <w:p>
            <w:pPr>
              <w:widowControl/>
              <w:jc w:val="left"/>
              <w:rPr>
                <w:rFonts w:ascii="仿宋" w:hAnsi="仿宋" w:eastAsia="仿宋"/>
                <w:color w:val="auto"/>
                <w:sz w:val="22"/>
                <w:szCs w:val="22"/>
                <w:highlight w:val="none"/>
              </w:rPr>
            </w:pPr>
            <w:r>
              <w:rPr>
                <w:rFonts w:hint="eastAsia" w:ascii="仿宋" w:hAnsi="仿宋" w:eastAsia="仿宋"/>
                <w:color w:val="auto"/>
                <w:sz w:val="22"/>
                <w:szCs w:val="22"/>
                <w:highlight w:val="none"/>
              </w:rPr>
              <w:t>明确国有建设用地供应指导思想和原则；提出国有建设用地供应政策导向；确定国有建设用地供应总量、结构、布局、时序和方式；落实计划供应的宗地；实施计划的保障措施。</w:t>
            </w:r>
          </w:p>
        </w:tc>
        <w:tc>
          <w:tcPr>
            <w:tcW w:w="667" w:type="pct"/>
            <w:vAlign w:val="center"/>
          </w:tcPr>
          <w:p>
            <w:pPr>
              <w:widowControl/>
              <w:rPr>
                <w:rFonts w:ascii="仿宋" w:hAnsi="仿宋" w:eastAsia="仿宋"/>
                <w:color w:val="auto"/>
                <w:sz w:val="22"/>
                <w:szCs w:val="22"/>
                <w:highlight w:val="none"/>
              </w:rPr>
            </w:pPr>
            <w:r>
              <w:rPr>
                <w:rFonts w:hint="eastAsia" w:ascii="仿宋" w:hAnsi="仿宋" w:eastAsia="仿宋"/>
                <w:color w:val="auto"/>
                <w:sz w:val="22"/>
                <w:szCs w:val="22"/>
                <w:highlight w:val="none"/>
              </w:rPr>
              <w:t>《国务院办公厅关于推进公共资源配置领域政府信息公开的意见》《招标拍卖挂牌出让国有建设用地使用权规定》</w:t>
            </w:r>
          </w:p>
        </w:tc>
        <w:tc>
          <w:tcPr>
            <w:tcW w:w="383" w:type="pct"/>
            <w:vAlign w:val="center"/>
          </w:tcPr>
          <w:p>
            <w:pPr>
              <w:widowControl/>
              <w:rPr>
                <w:rFonts w:ascii="仿宋" w:hAnsi="仿宋" w:eastAsia="仿宋"/>
                <w:color w:val="auto"/>
                <w:sz w:val="22"/>
                <w:szCs w:val="22"/>
                <w:highlight w:val="none"/>
              </w:rPr>
            </w:pPr>
            <w:r>
              <w:rPr>
                <w:rFonts w:hint="eastAsia" w:ascii="仿宋" w:hAnsi="仿宋" w:eastAsia="仿宋"/>
                <w:color w:val="auto"/>
                <w:sz w:val="22"/>
                <w:szCs w:val="22"/>
                <w:highlight w:val="none"/>
              </w:rPr>
              <w:t>每年3月31日前，公布年度国有建设用地供应计划</w:t>
            </w:r>
          </w:p>
        </w:tc>
        <w:tc>
          <w:tcPr>
            <w:tcW w:w="313" w:type="pct"/>
            <w:vAlign w:val="center"/>
          </w:tcPr>
          <w:p>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自然资源管理部门</w:t>
            </w:r>
          </w:p>
        </w:tc>
        <w:tc>
          <w:tcPr>
            <w:tcW w:w="788" w:type="pct"/>
            <w:vAlign w:val="center"/>
          </w:tcPr>
          <w:p>
            <w:pPr>
              <w:widowControl/>
              <w:rPr>
                <w:rFonts w:ascii="仿宋" w:hAnsi="仿宋" w:eastAsia="仿宋"/>
                <w:color w:val="auto"/>
                <w:sz w:val="22"/>
                <w:szCs w:val="22"/>
                <w:highlight w:val="none"/>
              </w:rPr>
            </w:pPr>
            <w:r>
              <w:rPr>
                <w:rFonts w:hint="eastAsia" w:ascii="仿宋" w:hAnsi="仿宋" w:eastAsia="仿宋"/>
                <w:color w:val="auto"/>
                <w:sz w:val="22"/>
                <w:szCs w:val="22"/>
                <w:highlight w:val="none"/>
              </w:rPr>
              <w:t>■各级自然资源管理部门网站</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4"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27</w:t>
            </w:r>
          </w:p>
        </w:tc>
        <w:tc>
          <w:tcPr>
            <w:tcW w:w="196" w:type="pct"/>
            <w:vMerge w:val="continue"/>
            <w:shd w:val="clear" w:color="auto" w:fill="auto"/>
            <w:vAlign w:val="center"/>
          </w:tcPr>
          <w:p>
            <w:pPr>
              <w:jc w:val="center"/>
              <w:rPr>
                <w:rFonts w:ascii="仿宋_GB2312" w:eastAsia="仿宋_GB2312"/>
                <w:color w:val="auto"/>
                <w:sz w:val="22"/>
                <w:szCs w:val="22"/>
                <w:highlight w:val="none"/>
              </w:rPr>
            </w:pP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招标拍卖挂牌出让公告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《国务院办公厅关于推进公共资源配置领域政府信息公开的意见》、《招标拍卖挂牌出让国有建设用地使用权规定》</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至少在投标、拍卖或者挂牌开始日前20日。挂牌时间不得少于10日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出让人</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土地有形市场或者指定的场所、媒介（一般指中国土地市场网、当地政府媒介）</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28</w:t>
            </w:r>
          </w:p>
        </w:tc>
        <w:tc>
          <w:tcPr>
            <w:tcW w:w="196" w:type="pct"/>
            <w:vMerge w:val="restar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国有土地使用权出让信息</w:t>
            </w:r>
          </w:p>
        </w:tc>
        <w:tc>
          <w:tcPr>
            <w:tcW w:w="282" w:type="pct"/>
            <w:shd w:val="clear" w:color="auto" w:fill="auto"/>
            <w:vAlign w:val="center"/>
          </w:tcPr>
          <w:p>
            <w:pPr>
              <w:rPr>
                <w:rFonts w:ascii="仿宋" w:hAnsi="仿宋" w:eastAsia="仿宋"/>
                <w:color w:val="auto"/>
                <w:sz w:val="22"/>
                <w:szCs w:val="22"/>
                <w:highlight w:val="none"/>
              </w:rPr>
            </w:pPr>
            <w:r>
              <w:rPr>
                <w:rFonts w:ascii="仿宋" w:hAnsi="仿宋" w:eastAsia="仿宋"/>
                <w:color w:val="auto"/>
                <w:sz w:val="22"/>
                <w:szCs w:val="22"/>
                <w:highlight w:val="none"/>
              </w:rPr>
              <w:t>公告调整</w:t>
            </w:r>
          </w:p>
        </w:tc>
        <w:tc>
          <w:tcPr>
            <w:tcW w:w="949" w:type="pct"/>
            <w:vAlign w:val="center"/>
          </w:tcPr>
          <w:p>
            <w:pPr>
              <w:rPr>
                <w:rFonts w:ascii="仿宋" w:hAnsi="仿宋" w:eastAsia="仿宋"/>
                <w:bCs/>
                <w:color w:val="auto"/>
                <w:sz w:val="22"/>
                <w:szCs w:val="22"/>
                <w:highlight w:val="none"/>
              </w:rPr>
            </w:pPr>
            <w:r>
              <w:rPr>
                <w:rFonts w:ascii="仿宋" w:hAnsi="仿宋" w:eastAsia="仿宋"/>
                <w:color w:val="auto"/>
                <w:sz w:val="22"/>
                <w:szCs w:val="22"/>
                <w:highlight w:val="none"/>
              </w:rPr>
              <w:t>公开国有建设用地使用权出让公告、项目概况、澄清或者修改事项、联系方式。</w:t>
            </w:r>
          </w:p>
        </w:tc>
        <w:tc>
          <w:tcPr>
            <w:tcW w:w="667" w:type="pct"/>
            <w:vAlign w:val="center"/>
          </w:tcPr>
          <w:p>
            <w:pPr>
              <w:rPr>
                <w:rFonts w:ascii="仿宋" w:hAnsi="仿宋" w:eastAsia="仿宋"/>
                <w:color w:val="auto"/>
                <w:sz w:val="22"/>
                <w:szCs w:val="22"/>
                <w:highlight w:val="none"/>
              </w:rPr>
            </w:pPr>
            <w:r>
              <w:rPr>
                <w:rFonts w:hint="eastAsia" w:ascii="仿宋" w:hAnsi="仿宋" w:eastAsia="仿宋"/>
                <w:color w:val="auto"/>
                <w:sz w:val="22"/>
                <w:szCs w:val="22"/>
                <w:highlight w:val="none"/>
              </w:rPr>
              <w:t>《招标拍卖挂牌出让国有建设用地使用权规定》</w:t>
            </w:r>
          </w:p>
        </w:tc>
        <w:tc>
          <w:tcPr>
            <w:tcW w:w="383" w:type="pct"/>
            <w:vAlign w:val="center"/>
          </w:tcPr>
          <w:p>
            <w:pPr>
              <w:rPr>
                <w:rFonts w:ascii="仿宋" w:hAnsi="仿宋" w:eastAsia="仿宋"/>
                <w:color w:val="auto"/>
                <w:sz w:val="22"/>
                <w:szCs w:val="22"/>
                <w:highlight w:val="none"/>
              </w:rPr>
            </w:pPr>
            <w:r>
              <w:rPr>
                <w:rFonts w:ascii="仿宋" w:hAnsi="仿宋" w:eastAsia="仿宋"/>
                <w:color w:val="auto"/>
                <w:sz w:val="22"/>
                <w:szCs w:val="22"/>
                <w:highlight w:val="none"/>
              </w:rPr>
              <w:t>按原公告发布渠道及时发布补充公告，涉及土地使用条件变更等影响土地价格的重大变动，补充公告发布时间距招拍挂活动开始时间少于</w:t>
            </w:r>
            <w:r>
              <w:rPr>
                <w:rFonts w:hint="eastAsia" w:ascii="仿宋" w:hAnsi="仿宋" w:eastAsia="仿宋"/>
                <w:color w:val="auto"/>
                <w:sz w:val="22"/>
                <w:szCs w:val="22"/>
                <w:highlight w:val="none"/>
              </w:rPr>
              <w:t>20日的，招拍挂活动相应顺延</w:t>
            </w:r>
          </w:p>
        </w:tc>
        <w:tc>
          <w:tcPr>
            <w:tcW w:w="313" w:type="pct"/>
            <w:vAlign w:val="center"/>
          </w:tcPr>
          <w:p>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自然资源管理部门</w:t>
            </w:r>
          </w:p>
        </w:tc>
        <w:tc>
          <w:tcPr>
            <w:tcW w:w="788" w:type="pct"/>
            <w:vAlign w:val="center"/>
          </w:tcPr>
          <w:p>
            <w:pPr>
              <w:widowControl/>
              <w:rPr>
                <w:rFonts w:ascii="仿宋" w:hAnsi="仿宋" w:eastAsia="仿宋"/>
                <w:color w:val="auto"/>
                <w:sz w:val="22"/>
                <w:szCs w:val="22"/>
                <w:highlight w:val="none"/>
              </w:rPr>
            </w:pPr>
            <w:r>
              <w:rPr>
                <w:rFonts w:ascii="仿宋" w:hAnsi="仿宋" w:eastAsia="仿宋"/>
                <w:color w:val="auto"/>
                <w:kern w:val="0"/>
                <w:sz w:val="22"/>
                <w:szCs w:val="22"/>
                <w:highlight w:val="none"/>
                <w:shd w:val="clear" w:color="auto" w:fill="FFFFFF"/>
              </w:rPr>
              <w:t>■</w:t>
            </w:r>
            <w:r>
              <w:rPr>
                <w:rFonts w:hint="eastAsia" w:ascii="仿宋" w:hAnsi="仿宋" w:eastAsia="仿宋"/>
                <w:color w:val="auto"/>
                <w:sz w:val="22"/>
                <w:szCs w:val="22"/>
                <w:highlight w:val="none"/>
              </w:rPr>
              <w:t>中国土地市场网</w:t>
            </w:r>
          </w:p>
          <w:p>
            <w:pPr>
              <w:rPr>
                <w:rFonts w:ascii="仿宋" w:hAnsi="仿宋" w:eastAsia="仿宋"/>
                <w:color w:val="auto"/>
                <w:sz w:val="22"/>
                <w:szCs w:val="22"/>
                <w:highlight w:val="none"/>
              </w:rPr>
            </w:pPr>
            <w:r>
              <w:rPr>
                <w:rFonts w:ascii="仿宋" w:hAnsi="仿宋" w:eastAsia="仿宋"/>
                <w:color w:val="auto"/>
                <w:kern w:val="0"/>
                <w:sz w:val="22"/>
                <w:szCs w:val="22"/>
                <w:highlight w:val="none"/>
                <w:shd w:val="clear" w:color="auto" w:fill="FFFFFF"/>
              </w:rPr>
              <w:t>■</w:t>
            </w:r>
            <w:r>
              <w:rPr>
                <w:rFonts w:hint="eastAsia" w:ascii="仿宋" w:hAnsi="仿宋" w:eastAsia="仿宋"/>
                <w:color w:val="auto"/>
                <w:sz w:val="22"/>
                <w:szCs w:val="22"/>
                <w:highlight w:val="none"/>
              </w:rPr>
              <w:t>江门市公共资源交易中心网站</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29</w:t>
            </w:r>
          </w:p>
        </w:tc>
        <w:tc>
          <w:tcPr>
            <w:tcW w:w="196" w:type="pct"/>
            <w:vMerge w:val="continue"/>
            <w:shd w:val="clear" w:color="auto" w:fill="auto"/>
            <w:vAlign w:val="center"/>
          </w:tcPr>
          <w:p>
            <w:pPr>
              <w:jc w:val="center"/>
              <w:rPr>
                <w:rFonts w:ascii="仿宋_GB2312" w:eastAsia="仿宋_GB2312"/>
                <w:color w:val="auto"/>
                <w:sz w:val="22"/>
                <w:szCs w:val="22"/>
                <w:highlight w:val="none"/>
              </w:rPr>
            </w:pP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招标拍卖挂牌出让结果（成交公示）</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土地位置、面积、用途、开发程度、土地级别、容积率、出让年限、供地方式、受让人、成交价格和成交时间等。</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《国务院办公厅关于推进公共资源配置领域政府信息公开的意见》、《招标拍卖挂牌出让国有建设用地使用权规定》、《招标拍卖挂牌出让国有土地使用权规范》</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招标拍卖挂牌活动结束后的10个工作日内</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出让人</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土地有形市场或者指定的场所、媒介（一般指中国土地市场网、当地政府媒介）</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30</w:t>
            </w:r>
          </w:p>
        </w:tc>
        <w:tc>
          <w:tcPr>
            <w:tcW w:w="196" w:type="pct"/>
            <w:vMerge w:val="continue"/>
            <w:shd w:val="clear" w:color="auto" w:fill="auto"/>
            <w:vAlign w:val="center"/>
          </w:tcPr>
          <w:p>
            <w:pPr>
              <w:jc w:val="center"/>
              <w:rPr>
                <w:rFonts w:ascii="仿宋_GB2312" w:eastAsia="仿宋_GB2312"/>
                <w:color w:val="auto"/>
                <w:sz w:val="22"/>
                <w:szCs w:val="22"/>
                <w:highlight w:val="none"/>
              </w:rPr>
            </w:pPr>
          </w:p>
        </w:tc>
        <w:tc>
          <w:tcPr>
            <w:tcW w:w="282" w:type="pct"/>
            <w:shd w:val="clear" w:color="auto" w:fill="auto"/>
            <w:vAlign w:val="center"/>
          </w:tcPr>
          <w:p>
            <w:pPr>
              <w:rPr>
                <w:rFonts w:ascii="仿宋" w:hAnsi="仿宋" w:eastAsia="仿宋"/>
                <w:color w:val="auto"/>
                <w:sz w:val="22"/>
                <w:szCs w:val="22"/>
                <w:highlight w:val="none"/>
              </w:rPr>
            </w:pPr>
            <w:r>
              <w:rPr>
                <w:rFonts w:ascii="仿宋" w:hAnsi="仿宋" w:eastAsia="仿宋"/>
                <w:color w:val="auto"/>
                <w:sz w:val="22"/>
                <w:szCs w:val="22"/>
                <w:highlight w:val="none"/>
              </w:rPr>
              <w:t>供应结果</w:t>
            </w:r>
          </w:p>
        </w:tc>
        <w:tc>
          <w:tcPr>
            <w:tcW w:w="949" w:type="pct"/>
            <w:vAlign w:val="center"/>
          </w:tcPr>
          <w:p>
            <w:pPr>
              <w:rPr>
                <w:rFonts w:ascii="仿宋" w:hAnsi="仿宋" w:eastAsia="仿宋"/>
                <w:bCs/>
                <w:color w:val="auto"/>
                <w:sz w:val="22"/>
                <w:szCs w:val="22"/>
                <w:highlight w:val="none"/>
              </w:rPr>
            </w:pPr>
            <w:r>
              <w:rPr>
                <w:rFonts w:ascii="仿宋" w:hAnsi="仿宋" w:eastAsia="仿宋"/>
                <w:color w:val="auto"/>
                <w:sz w:val="22"/>
                <w:szCs w:val="22"/>
                <w:highlight w:val="none"/>
              </w:rPr>
              <w:t>国有建设用地使用权年度供应结果。</w:t>
            </w:r>
          </w:p>
        </w:tc>
        <w:tc>
          <w:tcPr>
            <w:tcW w:w="667" w:type="pct"/>
            <w:vAlign w:val="center"/>
          </w:tcPr>
          <w:p>
            <w:pPr>
              <w:rPr>
                <w:rFonts w:ascii="仿宋" w:hAnsi="仿宋" w:eastAsia="仿宋"/>
                <w:color w:val="auto"/>
                <w:sz w:val="22"/>
                <w:szCs w:val="22"/>
                <w:highlight w:val="none"/>
              </w:rPr>
            </w:pPr>
            <w:r>
              <w:rPr>
                <w:rFonts w:hint="eastAsia" w:ascii="仿宋" w:hAnsi="仿宋" w:eastAsia="仿宋"/>
                <w:color w:val="auto"/>
                <w:sz w:val="22"/>
                <w:szCs w:val="22"/>
                <w:highlight w:val="none"/>
              </w:rPr>
              <w:t>《国务院办公厅关于推进公共资源配置领域政府信息公开的意见》</w:t>
            </w:r>
          </w:p>
        </w:tc>
        <w:tc>
          <w:tcPr>
            <w:tcW w:w="383" w:type="pct"/>
            <w:vAlign w:val="center"/>
          </w:tcPr>
          <w:p>
            <w:pPr>
              <w:rPr>
                <w:rFonts w:ascii="仿宋" w:hAnsi="仿宋" w:eastAsia="仿宋"/>
                <w:color w:val="auto"/>
                <w:sz w:val="22"/>
                <w:szCs w:val="22"/>
                <w:highlight w:val="none"/>
              </w:rPr>
            </w:pPr>
            <w:r>
              <w:rPr>
                <w:rFonts w:ascii="仿宋" w:hAnsi="仿宋" w:eastAsia="仿宋"/>
                <w:color w:val="auto"/>
                <w:sz w:val="22"/>
                <w:szCs w:val="22"/>
                <w:highlight w:val="none"/>
              </w:rPr>
              <w:t>及时公开</w:t>
            </w:r>
          </w:p>
        </w:tc>
        <w:tc>
          <w:tcPr>
            <w:tcW w:w="313" w:type="pct"/>
            <w:vAlign w:val="center"/>
          </w:tcPr>
          <w:p>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自然资源管理部门</w:t>
            </w:r>
          </w:p>
        </w:tc>
        <w:tc>
          <w:tcPr>
            <w:tcW w:w="788" w:type="pct"/>
            <w:vAlign w:val="center"/>
          </w:tcPr>
          <w:p>
            <w:pPr>
              <w:widowControl/>
              <w:spacing w:line="320" w:lineRule="exact"/>
              <w:rPr>
                <w:rFonts w:ascii="仿宋" w:hAnsi="仿宋" w:eastAsia="仿宋"/>
                <w:color w:val="auto"/>
                <w:sz w:val="22"/>
                <w:szCs w:val="22"/>
                <w:highlight w:val="none"/>
              </w:rPr>
            </w:pPr>
            <w:r>
              <w:rPr>
                <w:rFonts w:hint="eastAsia" w:ascii="仿宋" w:hAnsi="仿宋" w:eastAsia="仿宋"/>
                <w:color w:val="auto"/>
                <w:kern w:val="0"/>
                <w:sz w:val="22"/>
                <w:szCs w:val="22"/>
                <w:highlight w:val="none"/>
                <w:shd w:val="clear" w:color="auto" w:fill="FFFFFF"/>
              </w:rPr>
              <w:t>■各级自然资源管理部门网站</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31</w:t>
            </w:r>
          </w:p>
        </w:tc>
        <w:tc>
          <w:tcPr>
            <w:tcW w:w="196" w:type="pct"/>
            <w:vMerge w:val="restar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矿业权出让信息</w:t>
            </w:r>
          </w:p>
        </w:tc>
        <w:tc>
          <w:tcPr>
            <w:tcW w:w="282" w:type="pct"/>
            <w:shd w:val="clear" w:color="auto" w:fill="auto"/>
            <w:vAlign w:val="center"/>
          </w:tcPr>
          <w:p>
            <w:pPr>
              <w:widowControl/>
              <w:jc w:val="center"/>
              <w:rPr>
                <w:rFonts w:ascii="仿宋" w:hAnsi="仿宋" w:eastAsia="仿宋"/>
                <w:color w:val="auto"/>
                <w:sz w:val="22"/>
                <w:szCs w:val="22"/>
                <w:highlight w:val="none"/>
              </w:rPr>
            </w:pPr>
            <w:r>
              <w:rPr>
                <w:rFonts w:ascii="仿宋" w:hAnsi="仿宋" w:eastAsia="仿宋"/>
                <w:color w:val="auto"/>
                <w:sz w:val="22"/>
                <w:szCs w:val="22"/>
                <w:highlight w:val="none"/>
              </w:rPr>
              <w:t>招标拍卖挂牌出让公告</w:t>
            </w:r>
          </w:p>
        </w:tc>
        <w:tc>
          <w:tcPr>
            <w:tcW w:w="949" w:type="pct"/>
            <w:vAlign w:val="center"/>
          </w:tcPr>
          <w:p>
            <w:pPr>
              <w:widowControl/>
              <w:jc w:val="left"/>
              <w:rPr>
                <w:rFonts w:ascii="仿宋" w:hAnsi="仿宋" w:eastAsia="仿宋"/>
                <w:color w:val="auto"/>
                <w:sz w:val="22"/>
                <w:szCs w:val="22"/>
                <w:highlight w:val="none"/>
              </w:rPr>
            </w:pPr>
            <w:r>
              <w:rPr>
                <w:rFonts w:ascii="仿宋" w:hAnsi="仿宋" w:eastAsia="仿宋"/>
                <w:color w:val="auto"/>
                <w:sz w:val="22"/>
                <w:szCs w:val="22"/>
                <w:highlight w:val="none"/>
              </w:rPr>
              <w:t>出让人和矿产权交易平台的名称、场所、出让矿产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和方式；确定中标人、竞得人的标准和方法；公共资源领域失信联合惩戒相关提示，风险提示；对交易矿业权异议</w:t>
            </w:r>
            <w:r>
              <w:rPr>
                <w:rFonts w:hint="eastAsia" w:ascii="仿宋" w:hAnsi="仿宋" w:eastAsia="仿宋"/>
                <w:color w:val="auto"/>
                <w:sz w:val="22"/>
                <w:szCs w:val="22"/>
                <w:highlight w:val="none"/>
              </w:rPr>
              <w:t>的处理方式；需要公告的其他内容。</w:t>
            </w:r>
          </w:p>
        </w:tc>
        <w:tc>
          <w:tcPr>
            <w:tcW w:w="667" w:type="pct"/>
            <w:vAlign w:val="center"/>
          </w:tcPr>
          <w:p>
            <w:pPr>
              <w:widowControl/>
              <w:rPr>
                <w:rFonts w:ascii="仿宋" w:hAnsi="仿宋" w:eastAsia="仿宋"/>
                <w:color w:val="auto"/>
                <w:sz w:val="22"/>
                <w:szCs w:val="22"/>
                <w:highlight w:val="none"/>
              </w:rPr>
            </w:pPr>
            <w:r>
              <w:rPr>
                <w:rFonts w:hint="eastAsia" w:ascii="仿宋" w:hAnsi="仿宋" w:eastAsia="仿宋"/>
                <w:color w:val="auto"/>
                <w:sz w:val="22"/>
                <w:szCs w:val="22"/>
                <w:highlight w:val="none"/>
              </w:rPr>
              <w:t>《国务院办公厅关于推进公共资源配置领域政府信息公开的意见》《国土资源部关于印发矿业权交易规则的通知》《自然资源部关于调整&lt;矿业权交易规则&gt;有关规定的通知》</w:t>
            </w:r>
          </w:p>
        </w:tc>
        <w:tc>
          <w:tcPr>
            <w:tcW w:w="383" w:type="pct"/>
            <w:vAlign w:val="center"/>
          </w:tcPr>
          <w:p>
            <w:pPr>
              <w:widowControl/>
              <w:rPr>
                <w:rFonts w:ascii="仿宋" w:hAnsi="仿宋" w:eastAsia="仿宋"/>
                <w:color w:val="auto"/>
                <w:sz w:val="22"/>
                <w:szCs w:val="22"/>
                <w:highlight w:val="none"/>
              </w:rPr>
            </w:pPr>
            <w:r>
              <w:rPr>
                <w:rFonts w:ascii="仿宋" w:hAnsi="仿宋" w:eastAsia="仿宋"/>
                <w:color w:val="auto"/>
                <w:sz w:val="22"/>
                <w:szCs w:val="22"/>
                <w:highlight w:val="none"/>
              </w:rPr>
              <w:t>在投标截止日、公开拍卖日或者挂牌起始日</w:t>
            </w:r>
            <w:r>
              <w:rPr>
                <w:rFonts w:hint="eastAsia" w:ascii="仿宋" w:hAnsi="仿宋" w:eastAsia="仿宋"/>
                <w:color w:val="auto"/>
                <w:sz w:val="22"/>
                <w:szCs w:val="22"/>
                <w:highlight w:val="none"/>
              </w:rPr>
              <w:t>20个工作日前发布。挂牌时间不得少于10个工作日</w:t>
            </w:r>
          </w:p>
        </w:tc>
        <w:tc>
          <w:tcPr>
            <w:tcW w:w="313" w:type="pct"/>
            <w:vAlign w:val="center"/>
          </w:tcPr>
          <w:p>
            <w:pPr>
              <w:widowControl/>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自然资源管理部门</w:t>
            </w:r>
          </w:p>
        </w:tc>
        <w:tc>
          <w:tcPr>
            <w:tcW w:w="788" w:type="pct"/>
            <w:vAlign w:val="center"/>
          </w:tcPr>
          <w:p>
            <w:pPr>
              <w:widowControl/>
              <w:spacing w:line="320" w:lineRule="exact"/>
              <w:rPr>
                <w:rFonts w:ascii="仿宋" w:hAnsi="仿宋" w:eastAsia="仿宋"/>
                <w:color w:val="auto"/>
                <w:kern w:val="0"/>
                <w:sz w:val="22"/>
                <w:szCs w:val="22"/>
                <w:highlight w:val="none"/>
                <w:shd w:val="clear" w:color="auto" w:fill="FFFFFF"/>
              </w:rPr>
            </w:pPr>
            <w:r>
              <w:rPr>
                <w:rFonts w:hint="eastAsia" w:ascii="仿宋" w:hAnsi="仿宋" w:eastAsia="仿宋"/>
                <w:color w:val="auto"/>
                <w:kern w:val="0"/>
                <w:sz w:val="22"/>
                <w:szCs w:val="22"/>
                <w:highlight w:val="none"/>
                <w:shd w:val="clear" w:color="auto" w:fill="FFFFFF"/>
              </w:rPr>
              <w:t>■公共资源交易平台</w:t>
            </w:r>
          </w:p>
          <w:p>
            <w:pPr>
              <w:widowControl/>
              <w:spacing w:line="320" w:lineRule="exact"/>
              <w:rPr>
                <w:rFonts w:ascii="仿宋" w:hAnsi="仿宋" w:eastAsia="仿宋"/>
                <w:color w:val="auto"/>
                <w:kern w:val="0"/>
                <w:sz w:val="22"/>
                <w:szCs w:val="22"/>
                <w:highlight w:val="none"/>
                <w:shd w:val="clear" w:color="auto" w:fill="FFFFFF"/>
              </w:rPr>
            </w:pPr>
            <w:r>
              <w:rPr>
                <w:rFonts w:hint="eastAsia" w:ascii="仿宋" w:hAnsi="仿宋" w:eastAsia="仿宋"/>
                <w:color w:val="auto"/>
                <w:kern w:val="0"/>
                <w:sz w:val="22"/>
                <w:szCs w:val="22"/>
                <w:highlight w:val="none"/>
                <w:shd w:val="clear" w:color="auto" w:fill="FFFFFF"/>
              </w:rPr>
              <w:t>在下列平台同时发布：</w:t>
            </w:r>
          </w:p>
          <w:p>
            <w:pPr>
              <w:widowControl/>
              <w:spacing w:line="320" w:lineRule="exact"/>
              <w:rPr>
                <w:rFonts w:ascii="仿宋" w:hAnsi="仿宋" w:eastAsia="仿宋"/>
                <w:color w:val="auto"/>
                <w:kern w:val="0"/>
                <w:sz w:val="22"/>
                <w:szCs w:val="22"/>
                <w:highlight w:val="none"/>
                <w:shd w:val="clear" w:color="auto" w:fill="FFFFFF"/>
              </w:rPr>
            </w:pPr>
            <w:r>
              <w:rPr>
                <w:rFonts w:hint="eastAsia" w:ascii="仿宋" w:hAnsi="仿宋" w:eastAsia="仿宋"/>
                <w:color w:val="auto"/>
                <w:kern w:val="0"/>
                <w:sz w:val="22"/>
                <w:szCs w:val="22"/>
                <w:highlight w:val="none"/>
                <w:shd w:val="clear" w:color="auto" w:fill="FFFFFF"/>
              </w:rPr>
              <w:t>■自然资源部门户网站</w:t>
            </w:r>
          </w:p>
          <w:p>
            <w:pPr>
              <w:widowControl/>
              <w:spacing w:line="320" w:lineRule="exact"/>
              <w:rPr>
                <w:rFonts w:ascii="仿宋" w:hAnsi="仿宋" w:eastAsia="仿宋"/>
                <w:color w:val="auto"/>
                <w:sz w:val="22"/>
                <w:szCs w:val="22"/>
                <w:highlight w:val="none"/>
              </w:rPr>
            </w:pPr>
            <w:r>
              <w:rPr>
                <w:rFonts w:hint="eastAsia" w:ascii="仿宋" w:hAnsi="仿宋" w:eastAsia="仿宋"/>
                <w:color w:val="auto"/>
                <w:kern w:val="0"/>
                <w:sz w:val="22"/>
                <w:szCs w:val="22"/>
                <w:highlight w:val="none"/>
                <w:shd w:val="clear" w:color="auto" w:fill="FFFFFF"/>
              </w:rPr>
              <w:t>■同级自然资源主管部门门户网站</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32</w:t>
            </w:r>
          </w:p>
        </w:tc>
        <w:tc>
          <w:tcPr>
            <w:tcW w:w="196" w:type="pct"/>
            <w:vMerge w:val="continue"/>
            <w:shd w:val="clear" w:color="auto" w:fill="auto"/>
            <w:vAlign w:val="center"/>
          </w:tcPr>
          <w:p>
            <w:pPr>
              <w:jc w:val="center"/>
              <w:rPr>
                <w:rFonts w:ascii="仿宋_GB2312" w:eastAsia="仿宋_GB2312"/>
                <w:color w:val="auto"/>
                <w:sz w:val="22"/>
                <w:szCs w:val="22"/>
                <w:highlight w:val="none"/>
              </w:rPr>
            </w:pP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招标拍卖挂牌成交结果公示</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《国务院办公厅关于推进公共资源配置领域政府信息公开的意见》、国土资源部关于印发矿业权交易规则》的通知</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发出中标通知书或者签订成交确认书后5个工作日内进行信息公示。公示期不少于10个工作日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自然资源行政主管部门</w:t>
            </w:r>
          </w:p>
        </w:tc>
        <w:tc>
          <w:tcPr>
            <w:tcW w:w="788" w:type="pct"/>
            <w:vAlign w:val="center"/>
          </w:tcPr>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■公共资源交易平台</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在下列平台同时发布：</w:t>
            </w:r>
          </w:p>
          <w:p>
            <w:pPr>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■自然资源部全国矿业权登记信息及发布系统门户网站</w:t>
            </w:r>
          </w:p>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■同级自然资源主管部门门户网站</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33</w:t>
            </w:r>
          </w:p>
        </w:tc>
        <w:tc>
          <w:tcPr>
            <w:tcW w:w="196" w:type="pct"/>
            <w:vMerge w:val="restar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矿业权出让信息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审批结果信息</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每个项目的审批结果信息（交易完成后由各级自然资源管理部门审批）。</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《政府信息公开条例》、《国务院办公厅关于推进公共资源配置领域政府信息公开的意见》</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信息形成之日起20个工作日内</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各级自然资源管理部门</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各级自然资源管理部门网站</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34</w:t>
            </w:r>
          </w:p>
        </w:tc>
        <w:tc>
          <w:tcPr>
            <w:tcW w:w="196" w:type="pct"/>
            <w:vMerge w:val="continue"/>
            <w:shd w:val="clear" w:color="auto" w:fill="auto"/>
            <w:vAlign w:val="center"/>
          </w:tcPr>
          <w:p>
            <w:pPr>
              <w:jc w:val="center"/>
              <w:rPr>
                <w:rFonts w:ascii="仿宋_GB2312" w:eastAsia="仿宋_GB2312"/>
                <w:color w:val="auto"/>
                <w:sz w:val="22"/>
                <w:szCs w:val="22"/>
                <w:highlight w:val="none"/>
              </w:rPr>
            </w:pP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项目信息</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公告有效期内矿业权基本信息包括矿业权名称、许可证号、矿业权人、矿种、有效期限。</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《政府信息公开条例》、《国务院办公厅关于推进公共资源配置领域政府信息公开的意见》</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每年一季度集中公告</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各级自然资源管理部门</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各级自然资源管理部门网站</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35</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国有产权交易信息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国有企业产权转让信息预披露</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《国务院办公厅关于推进公共资源配置领域政府信息公开的意见》、《企业国有资产交易监督管理办法》</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及时公开，正式披露信息时间不得少于20个工作日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转让方</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产权交易机构网站</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　</w:t>
            </w: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　</w:t>
            </w:r>
          </w:p>
        </w:tc>
        <w:tc>
          <w:tcPr>
            <w:tcW w:w="192" w:type="pct"/>
            <w:vAlign w:val="center"/>
          </w:tcPr>
          <w:p>
            <w:pPr>
              <w:jc w:val="center"/>
              <w:rPr>
                <w:rFonts w:ascii="仿宋_GB2312" w:eastAsia="仿宋_GB2312"/>
                <w:color w:val="auto"/>
                <w:sz w:val="22"/>
                <w:szCs w:val="22"/>
                <w:highlight w:val="none"/>
              </w:rPr>
            </w:pP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36</w:t>
            </w:r>
          </w:p>
        </w:tc>
        <w:tc>
          <w:tcPr>
            <w:tcW w:w="196"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国有产权交易信息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国有企业产权转让信息披露</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《国务院办公厅关于推进公共资源配置领域政府信息公开的意见》、《企业国有资产交易监督管理办法》</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及时公开，正式披露信息时间不得少于20个工作日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转让方</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产权交易机构网站</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　</w:t>
            </w: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　</w:t>
            </w:r>
          </w:p>
        </w:tc>
        <w:tc>
          <w:tcPr>
            <w:tcW w:w="192" w:type="pct"/>
            <w:vAlign w:val="center"/>
          </w:tcPr>
          <w:p>
            <w:pPr>
              <w:jc w:val="center"/>
              <w:rPr>
                <w:rFonts w:ascii="仿宋_GB2312" w:eastAsia="仿宋_GB2312"/>
                <w:color w:val="auto"/>
                <w:sz w:val="22"/>
                <w:szCs w:val="22"/>
                <w:highlight w:val="none"/>
              </w:rPr>
            </w:pP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37</w:t>
            </w:r>
          </w:p>
        </w:tc>
        <w:tc>
          <w:tcPr>
            <w:tcW w:w="196" w:type="pct"/>
            <w:shd w:val="clear" w:color="auto" w:fill="auto"/>
            <w:vAlign w:val="center"/>
          </w:tcPr>
          <w:p>
            <w:pPr>
              <w:rPr>
                <w:rFonts w:ascii="仿宋_GB2312" w:eastAsia="仿宋_GB2312"/>
                <w:color w:val="auto"/>
                <w:sz w:val="22"/>
                <w:szCs w:val="22"/>
                <w:highlight w:val="none"/>
              </w:rPr>
            </w:pP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国有企业产权转让成交公告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交易标的名称、转让标的评估结果、转让底价、交易价格。</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《国务院办公厅关于推进公共资源配置领域政府信息公开的意见》、《企业国有资产交易监督管理办法》</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及时公开，公告期不少于5个工作日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产权交易机构</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产权交易机构网站</w:t>
            </w:r>
          </w:p>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　</w:t>
            </w: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　</w:t>
            </w:r>
          </w:p>
        </w:tc>
        <w:tc>
          <w:tcPr>
            <w:tcW w:w="192" w:type="pct"/>
            <w:vAlign w:val="center"/>
          </w:tcPr>
          <w:p>
            <w:pPr>
              <w:jc w:val="center"/>
              <w:rPr>
                <w:rFonts w:ascii="仿宋_GB2312" w:eastAsia="仿宋_GB2312"/>
                <w:color w:val="auto"/>
                <w:sz w:val="22"/>
                <w:szCs w:val="22"/>
                <w:highlight w:val="none"/>
              </w:rPr>
            </w:pPr>
          </w:p>
        </w:tc>
        <w:tc>
          <w:tcPr>
            <w:tcW w:w="282" w:type="pct"/>
            <w:gridSpan w:val="4"/>
            <w:vAlign w:val="center"/>
          </w:tcPr>
          <w:p>
            <w:pPr>
              <w:jc w:val="center"/>
              <w:rPr>
                <w:rFonts w:ascii="仿宋_GB2312" w:eastAsia="仿宋_GB2312"/>
                <w:color w:val="auto"/>
                <w:sz w:val="22"/>
                <w:szCs w:val="22"/>
                <w:highlight w:val="none"/>
              </w:rPr>
            </w:pPr>
          </w:p>
        </w:tc>
        <w:tc>
          <w:tcPr>
            <w:tcW w:w="191" w:type="pct"/>
            <w:vAlign w:val="center"/>
          </w:tcPr>
          <w:p>
            <w:pPr>
              <w:jc w:val="center"/>
              <w:rPr>
                <w:rFonts w:ascii="仿宋_GB2312" w:eastAsia="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38</w:t>
            </w:r>
          </w:p>
        </w:tc>
        <w:tc>
          <w:tcPr>
            <w:tcW w:w="196" w:type="pct"/>
            <w:vMerge w:val="restar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国有产权交易信息</w:t>
            </w: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国有企业资产转让信息披露</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标的基本情况、交易条件、转让底价、竞价方式、受让方选择的相关评判标准等。</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《国务院办公厅关于推进公共资源配置领域政府信息公开的意见》、《企业国有资产交易监督管理办法》</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转让底价高于100万元、低于1000万元的资产转让项目，信息公告期应不少于10个工作日；转让底价高于1000万元的资产转让项目，信息公告期应不少于20个工作日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转让方</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产权交易机构网站</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4"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39</w:t>
            </w:r>
          </w:p>
        </w:tc>
        <w:tc>
          <w:tcPr>
            <w:tcW w:w="196" w:type="pct"/>
            <w:vMerge w:val="continue"/>
            <w:shd w:val="clear" w:color="auto" w:fill="auto"/>
            <w:vAlign w:val="center"/>
          </w:tcPr>
          <w:p>
            <w:pPr>
              <w:rPr>
                <w:rFonts w:ascii="仿宋_GB2312" w:eastAsia="仿宋_GB2312"/>
                <w:color w:val="auto"/>
                <w:sz w:val="22"/>
                <w:szCs w:val="22"/>
                <w:highlight w:val="none"/>
              </w:rPr>
            </w:pPr>
          </w:p>
        </w:tc>
        <w:tc>
          <w:tcPr>
            <w:tcW w:w="282" w:type="pct"/>
            <w:shd w:val="clear" w:color="auto" w:fill="auto"/>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国有企业资产转让成交公告</w:t>
            </w:r>
          </w:p>
        </w:tc>
        <w:tc>
          <w:tcPr>
            <w:tcW w:w="949"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交易标的名称、评估价格、转让底价、交易价格等。</w:t>
            </w:r>
          </w:p>
        </w:tc>
        <w:tc>
          <w:tcPr>
            <w:tcW w:w="667"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《国务院办公厅关于推进公共资源配置领域政府信息公开的意见》、《企业国有资产交易监督管理办法》</w:t>
            </w:r>
          </w:p>
        </w:tc>
        <w:tc>
          <w:tcPr>
            <w:tcW w:w="38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不少于5个工作日</w:t>
            </w:r>
          </w:p>
        </w:tc>
        <w:tc>
          <w:tcPr>
            <w:tcW w:w="313" w:type="pct"/>
            <w:vAlign w:val="center"/>
          </w:tcPr>
          <w:p>
            <w:pPr>
              <w:rPr>
                <w:rFonts w:ascii="仿宋_GB2312" w:eastAsia="仿宋_GB2312"/>
                <w:color w:val="auto"/>
                <w:sz w:val="22"/>
                <w:szCs w:val="22"/>
                <w:highlight w:val="none"/>
              </w:rPr>
            </w:pPr>
            <w:r>
              <w:rPr>
                <w:rFonts w:hint="eastAsia" w:ascii="仿宋_GB2312" w:eastAsia="仿宋_GB2312"/>
                <w:color w:val="auto"/>
                <w:sz w:val="22"/>
                <w:szCs w:val="22"/>
                <w:highlight w:val="none"/>
              </w:rPr>
              <w:t>产权交易机构</w:t>
            </w:r>
          </w:p>
        </w:tc>
        <w:tc>
          <w:tcPr>
            <w:tcW w:w="788" w:type="pct"/>
            <w:vAlign w:val="center"/>
          </w:tcPr>
          <w:p>
            <w:pP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产权交易机构网站</w:t>
            </w:r>
            <w:r>
              <w:rPr>
                <w:rFonts w:ascii="仿宋_GB2312" w:eastAsia="仿宋_GB2312"/>
                <w:color w:val="auto"/>
                <w:sz w:val="22"/>
                <w:szCs w:val="22"/>
                <w:highlight w:val="none"/>
              </w:rPr>
              <w:br w:type="textWrapping"/>
            </w:r>
            <w:r>
              <w:rPr>
                <w:rFonts w:hint="eastAsia" w:ascii="仿宋_GB2312" w:hAnsi="宋体" w:eastAsia="仿宋_GB2312"/>
                <w:color w:val="auto"/>
                <w:sz w:val="22"/>
                <w:szCs w:val="22"/>
                <w:highlight w:val="none"/>
              </w:rPr>
              <w:t>■</w:t>
            </w:r>
            <w:r>
              <w:rPr>
                <w:rFonts w:hint="eastAsia" w:ascii="仿宋_GB2312" w:eastAsia="仿宋_GB2312"/>
                <w:color w:val="auto"/>
                <w:sz w:val="22"/>
                <w:szCs w:val="22"/>
                <w:highlight w:val="none"/>
              </w:rPr>
              <w:t>公共资源交易平台</w:t>
            </w:r>
          </w:p>
        </w:tc>
        <w:tc>
          <w:tcPr>
            <w:tcW w:w="152"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48" w:type="pct"/>
            <w:shd w:val="clear" w:color="auto" w:fill="auto"/>
            <w:vAlign w:val="center"/>
          </w:tcPr>
          <w:p>
            <w:pPr>
              <w:jc w:val="center"/>
              <w:rPr>
                <w:rFonts w:ascii="仿宋_GB2312" w:eastAsia="仿宋_GB2312"/>
                <w:color w:val="auto"/>
                <w:sz w:val="22"/>
                <w:szCs w:val="22"/>
                <w:highlight w:val="none"/>
              </w:rPr>
            </w:pPr>
          </w:p>
        </w:tc>
        <w:tc>
          <w:tcPr>
            <w:tcW w:w="147" w:type="pct"/>
            <w:shd w:val="clear" w:color="auto" w:fill="auto"/>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166" w:type="pct"/>
            <w:shd w:val="clear" w:color="auto" w:fill="auto"/>
            <w:vAlign w:val="center"/>
          </w:tcPr>
          <w:p>
            <w:pPr>
              <w:jc w:val="center"/>
              <w:rPr>
                <w:rFonts w:ascii="仿宋_GB2312" w:eastAsia="仿宋_GB2312"/>
                <w:color w:val="auto"/>
                <w:sz w:val="22"/>
                <w:szCs w:val="22"/>
                <w:highlight w:val="none"/>
              </w:rPr>
            </w:pPr>
          </w:p>
        </w:tc>
        <w:tc>
          <w:tcPr>
            <w:tcW w:w="192"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c>
          <w:tcPr>
            <w:tcW w:w="282" w:type="pct"/>
            <w:gridSpan w:val="4"/>
            <w:vAlign w:val="center"/>
          </w:tcPr>
          <w:p>
            <w:pPr>
              <w:jc w:val="center"/>
              <w:rPr>
                <w:rFonts w:ascii="仿宋_GB2312" w:eastAsia="仿宋_GB2312"/>
                <w:color w:val="auto"/>
                <w:sz w:val="22"/>
                <w:szCs w:val="22"/>
                <w:highlight w:val="none"/>
              </w:rPr>
            </w:pPr>
            <w:r>
              <w:rPr>
                <w:rFonts w:hint="eastAsia" w:ascii="仿宋_GB2312" w:hAnsi="宋体" w:eastAsia="仿宋_GB2312"/>
                <w:color w:val="auto"/>
                <w:sz w:val="22"/>
                <w:szCs w:val="22"/>
                <w:highlight w:val="none"/>
              </w:rPr>
              <w:t>√</w:t>
            </w:r>
          </w:p>
        </w:tc>
        <w:tc>
          <w:tcPr>
            <w:tcW w:w="191" w:type="pct"/>
            <w:vAlign w:val="center"/>
          </w:tcPr>
          <w:p>
            <w:pPr>
              <w:jc w:val="center"/>
              <w:rPr>
                <w:rFonts w:ascii="仿宋_GB2312" w:eastAsia="仿宋_GB2312"/>
                <w:color w:val="auto"/>
                <w:sz w:val="22"/>
                <w:szCs w:val="22"/>
                <w:highlight w:val="none"/>
              </w:rPr>
            </w:pPr>
            <w:r>
              <w:rPr>
                <w:rFonts w:hint="eastAsia" w:ascii="仿宋_GB2312" w:eastAsia="仿宋_GB2312"/>
                <w:color w:val="auto"/>
                <w:sz w:val="22"/>
                <w:szCs w:val="22"/>
                <w:highlight w:val="none"/>
              </w:rPr>
              <w:t>√</w:t>
            </w:r>
          </w:p>
        </w:tc>
      </w:tr>
    </w:tbl>
    <w:p/>
    <w:sectPr>
      <w:pgSz w:w="16838" w:h="11906" w:orient="landscape"/>
      <w:pgMar w:top="964" w:right="720" w:bottom="96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2676"/>
    <w:rsid w:val="00013160"/>
    <w:rsid w:val="0001664C"/>
    <w:rsid w:val="000215AC"/>
    <w:rsid w:val="00024842"/>
    <w:rsid w:val="000A47C4"/>
    <w:rsid w:val="000B4D87"/>
    <w:rsid w:val="000E3E30"/>
    <w:rsid w:val="000E746E"/>
    <w:rsid w:val="00112C99"/>
    <w:rsid w:val="0011671F"/>
    <w:rsid w:val="001420C1"/>
    <w:rsid w:val="00173BAE"/>
    <w:rsid w:val="00186950"/>
    <w:rsid w:val="001A070C"/>
    <w:rsid w:val="001B51ED"/>
    <w:rsid w:val="001D4425"/>
    <w:rsid w:val="001F60D8"/>
    <w:rsid w:val="00215142"/>
    <w:rsid w:val="002406FD"/>
    <w:rsid w:val="00250713"/>
    <w:rsid w:val="002518A2"/>
    <w:rsid w:val="00251A82"/>
    <w:rsid w:val="00254BED"/>
    <w:rsid w:val="00256851"/>
    <w:rsid w:val="00292748"/>
    <w:rsid w:val="00292F42"/>
    <w:rsid w:val="00293B68"/>
    <w:rsid w:val="002A6775"/>
    <w:rsid w:val="002B1D77"/>
    <w:rsid w:val="002B1F7E"/>
    <w:rsid w:val="002E2C37"/>
    <w:rsid w:val="002E2FC3"/>
    <w:rsid w:val="00312FAC"/>
    <w:rsid w:val="003238BE"/>
    <w:rsid w:val="00341C68"/>
    <w:rsid w:val="003868BB"/>
    <w:rsid w:val="003B1C15"/>
    <w:rsid w:val="003B5F6A"/>
    <w:rsid w:val="003B61E7"/>
    <w:rsid w:val="003F555A"/>
    <w:rsid w:val="00426CCE"/>
    <w:rsid w:val="00451C1D"/>
    <w:rsid w:val="00462675"/>
    <w:rsid w:val="004656DB"/>
    <w:rsid w:val="00477935"/>
    <w:rsid w:val="004C01F3"/>
    <w:rsid w:val="00507BC3"/>
    <w:rsid w:val="00523CB5"/>
    <w:rsid w:val="005400CB"/>
    <w:rsid w:val="0057033F"/>
    <w:rsid w:val="005A6FB5"/>
    <w:rsid w:val="005D47D9"/>
    <w:rsid w:val="005E20FE"/>
    <w:rsid w:val="005F1229"/>
    <w:rsid w:val="005F7AF9"/>
    <w:rsid w:val="00611CA6"/>
    <w:rsid w:val="00615861"/>
    <w:rsid w:val="006216DD"/>
    <w:rsid w:val="00622607"/>
    <w:rsid w:val="006A3EAB"/>
    <w:rsid w:val="006B3462"/>
    <w:rsid w:val="006D004E"/>
    <w:rsid w:val="006E08F9"/>
    <w:rsid w:val="006F765E"/>
    <w:rsid w:val="00700EF7"/>
    <w:rsid w:val="007171DD"/>
    <w:rsid w:val="00742676"/>
    <w:rsid w:val="007821DA"/>
    <w:rsid w:val="007B2D71"/>
    <w:rsid w:val="007B46D5"/>
    <w:rsid w:val="007D72F7"/>
    <w:rsid w:val="00840431"/>
    <w:rsid w:val="0084433C"/>
    <w:rsid w:val="008643C2"/>
    <w:rsid w:val="00871CC8"/>
    <w:rsid w:val="00872687"/>
    <w:rsid w:val="0093102C"/>
    <w:rsid w:val="009774C9"/>
    <w:rsid w:val="00977C2C"/>
    <w:rsid w:val="009C7782"/>
    <w:rsid w:val="009E234B"/>
    <w:rsid w:val="00A16AD8"/>
    <w:rsid w:val="00AC6A88"/>
    <w:rsid w:val="00AE7BE2"/>
    <w:rsid w:val="00B02CC9"/>
    <w:rsid w:val="00B2260E"/>
    <w:rsid w:val="00B2343A"/>
    <w:rsid w:val="00B32E0A"/>
    <w:rsid w:val="00B47B6E"/>
    <w:rsid w:val="00BB01FC"/>
    <w:rsid w:val="00BC34B3"/>
    <w:rsid w:val="00BC6115"/>
    <w:rsid w:val="00C117C4"/>
    <w:rsid w:val="00C333F1"/>
    <w:rsid w:val="00C45418"/>
    <w:rsid w:val="00C61D7E"/>
    <w:rsid w:val="00C8228B"/>
    <w:rsid w:val="00C9085E"/>
    <w:rsid w:val="00CF3888"/>
    <w:rsid w:val="00D0529C"/>
    <w:rsid w:val="00D10347"/>
    <w:rsid w:val="00D27D6C"/>
    <w:rsid w:val="00DA5327"/>
    <w:rsid w:val="00DB7E2E"/>
    <w:rsid w:val="00DC068C"/>
    <w:rsid w:val="00DE02FA"/>
    <w:rsid w:val="00DF197D"/>
    <w:rsid w:val="00DF23B6"/>
    <w:rsid w:val="00E04D44"/>
    <w:rsid w:val="00E06114"/>
    <w:rsid w:val="00E21812"/>
    <w:rsid w:val="00E223CD"/>
    <w:rsid w:val="00E52136"/>
    <w:rsid w:val="00E61FD3"/>
    <w:rsid w:val="00E74255"/>
    <w:rsid w:val="00E800AC"/>
    <w:rsid w:val="00EA1337"/>
    <w:rsid w:val="00EA245B"/>
    <w:rsid w:val="00EC2ECB"/>
    <w:rsid w:val="00ED39E1"/>
    <w:rsid w:val="00EE17DF"/>
    <w:rsid w:val="00F02814"/>
    <w:rsid w:val="00F36BB0"/>
    <w:rsid w:val="00F43864"/>
    <w:rsid w:val="00F4425E"/>
    <w:rsid w:val="00FB13E2"/>
    <w:rsid w:val="00FB74C7"/>
    <w:rsid w:val="00FF52C5"/>
    <w:rsid w:val="00FF75E2"/>
    <w:rsid w:val="26BD7A40"/>
    <w:rsid w:val="66830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uiPriority w:val="0"/>
    <w:rPr>
      <w:rFonts w:ascii="Calibri" w:hAnsi="Calibri" w:eastAsia="宋体" w:cs="Times New Roman"/>
      <w:b/>
      <w:bCs/>
      <w:kern w:val="44"/>
      <w:sz w:val="44"/>
      <w:szCs w:val="44"/>
    </w:rPr>
  </w:style>
  <w:style w:type="character" w:customStyle="1" w:styleId="9">
    <w:name w:val="页眉 Char"/>
    <w:basedOn w:val="7"/>
    <w:link w:val="5"/>
    <w:uiPriority w:val="99"/>
    <w:rPr>
      <w:rFonts w:ascii="Calibri" w:hAnsi="Calibri" w:eastAsia="宋体" w:cs="Times New Roman"/>
      <w:sz w:val="18"/>
      <w:szCs w:val="18"/>
    </w:rPr>
  </w:style>
  <w:style w:type="character" w:customStyle="1" w:styleId="10">
    <w:name w:val="页脚 Char"/>
    <w:basedOn w:val="7"/>
    <w:link w:val="4"/>
    <w:uiPriority w:val="99"/>
    <w:rPr>
      <w:rFonts w:ascii="Calibri" w:hAnsi="Calibri" w:eastAsia="宋体" w:cs="Times New Roman"/>
      <w:sz w:val="18"/>
      <w:szCs w:val="18"/>
    </w:rPr>
  </w:style>
  <w:style w:type="character" w:customStyle="1" w:styleId="11">
    <w:name w:val="批注框文本 Char"/>
    <w:basedOn w:val="7"/>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F6BF3-8EBC-4646-B9B6-06B89D6AEE5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1527</Words>
  <Characters>8710</Characters>
  <Lines>72</Lines>
  <Paragraphs>20</Paragraphs>
  <TotalTime>74</TotalTime>
  <ScaleCrop>false</ScaleCrop>
  <LinksUpToDate>false</LinksUpToDate>
  <CharactersWithSpaces>10217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2020-11-23T02:00:00Z</dcterms:created>
  <dc:creator>李卓文</dc:creator>
  <cp:lastModifiedBy>勤辉</cp:lastModifiedBy>
  <cp:lastPrinted>2020-11-09T07:00:00Z</cp:lastPrinted>
  <dcterms:modified xsi:type="dcterms:W3CDTF">2020-12-08T10:25:30Z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