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（十九）涉农补贴领域基层政务公开标准目录</w:t>
      </w:r>
    </w:p>
    <w:tbl>
      <w:tblPr>
        <w:tblStyle w:val="8"/>
        <w:tblW w:w="14968" w:type="dxa"/>
        <w:tblInd w:w="-664" w:type="dxa"/>
        <w:tblLayout w:type="fixed"/>
        <w:tblCellMar>
          <w:top w:w="0" w:type="dxa"/>
          <w:left w:w="108" w:type="dxa"/>
          <w:bottom w:w="0" w:type="dxa"/>
          <w:right w:w="108" w:type="dxa"/>
        </w:tblCellMar>
      </w:tblPr>
      <w:tblGrid>
        <w:gridCol w:w="492"/>
        <w:gridCol w:w="656"/>
        <w:gridCol w:w="820"/>
        <w:gridCol w:w="2133"/>
        <w:gridCol w:w="2645"/>
        <w:gridCol w:w="1290"/>
        <w:gridCol w:w="900"/>
        <w:gridCol w:w="1183"/>
        <w:gridCol w:w="594"/>
        <w:gridCol w:w="675"/>
        <w:gridCol w:w="730"/>
        <w:gridCol w:w="800"/>
        <w:gridCol w:w="667"/>
        <w:gridCol w:w="683"/>
        <w:gridCol w:w="700"/>
      </w:tblGrid>
      <w:tr>
        <w:tblPrEx>
          <w:tblCellMar>
            <w:top w:w="0" w:type="dxa"/>
            <w:left w:w="108" w:type="dxa"/>
            <w:bottom w:w="0" w:type="dxa"/>
            <w:right w:w="108" w:type="dxa"/>
          </w:tblCellMar>
        </w:tblPrEx>
        <w:trPr>
          <w:cantSplit/>
          <w:tblHeader/>
        </w:trPr>
        <w:tc>
          <w:tcPr>
            <w:tcW w:w="4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bookmarkStart w:id="0" w:name="_GoBack"/>
            <w:r>
              <w:rPr>
                <w:rFonts w:hint="eastAsia" w:ascii="黑体" w:hAnsi="黑体" w:eastAsia="黑体" w:cs="黑体"/>
                <w:color w:val="auto"/>
                <w:kern w:val="0"/>
                <w:sz w:val="20"/>
                <w:szCs w:val="20"/>
              </w:rPr>
              <w:t>序号</w:t>
            </w:r>
          </w:p>
        </w:tc>
        <w:tc>
          <w:tcPr>
            <w:tcW w:w="147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公开事项</w:t>
            </w:r>
          </w:p>
        </w:tc>
        <w:tc>
          <w:tcPr>
            <w:tcW w:w="21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公开内容（要素）</w:t>
            </w:r>
          </w:p>
        </w:tc>
        <w:tc>
          <w:tcPr>
            <w:tcW w:w="26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公开依据</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公开时限</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公开主体</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公开渠道和载体</w:t>
            </w:r>
          </w:p>
        </w:tc>
        <w:tc>
          <w:tcPr>
            <w:tcW w:w="1269"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公开对象</w:t>
            </w:r>
          </w:p>
        </w:tc>
        <w:tc>
          <w:tcPr>
            <w:tcW w:w="153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公开方式</w:t>
            </w:r>
          </w:p>
        </w:tc>
        <w:tc>
          <w:tcPr>
            <w:tcW w:w="205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公开层级</w:t>
            </w:r>
          </w:p>
        </w:tc>
      </w:tr>
      <w:tr>
        <w:tblPrEx>
          <w:tblCellMar>
            <w:top w:w="0" w:type="dxa"/>
            <w:left w:w="108" w:type="dxa"/>
            <w:bottom w:w="0" w:type="dxa"/>
            <w:right w:w="108" w:type="dxa"/>
          </w:tblCellMar>
        </w:tblPrEx>
        <w:trPr>
          <w:cantSplit/>
          <w:tblHeader/>
        </w:trPr>
        <w:tc>
          <w:tcPr>
            <w:tcW w:w="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656"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一级事项</w:t>
            </w:r>
          </w:p>
        </w:tc>
        <w:tc>
          <w:tcPr>
            <w:tcW w:w="82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二级事项</w:t>
            </w: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color w:val="auto"/>
                <w:kern w:val="0"/>
                <w:sz w:val="20"/>
                <w:szCs w:val="20"/>
              </w:rPr>
            </w:pPr>
          </w:p>
        </w:tc>
        <w:tc>
          <w:tcPr>
            <w:tcW w:w="594"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全社会</w:t>
            </w:r>
          </w:p>
        </w:tc>
        <w:tc>
          <w:tcPr>
            <w:tcW w:w="675"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特定群众</w:t>
            </w:r>
          </w:p>
        </w:tc>
        <w:tc>
          <w:tcPr>
            <w:tcW w:w="73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主动</w:t>
            </w:r>
          </w:p>
        </w:tc>
        <w:tc>
          <w:tcPr>
            <w:tcW w:w="80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依申请公开</w:t>
            </w:r>
          </w:p>
        </w:tc>
        <w:tc>
          <w:tcPr>
            <w:tcW w:w="667"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县级</w:t>
            </w:r>
          </w:p>
        </w:tc>
        <w:tc>
          <w:tcPr>
            <w:tcW w:w="683"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乡级</w:t>
            </w:r>
          </w:p>
        </w:tc>
        <w:tc>
          <w:tcPr>
            <w:tcW w:w="700"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村级</w:t>
            </w: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农机购置补贴</w:t>
            </w:r>
          </w:p>
        </w:tc>
        <w:tc>
          <w:tcPr>
            <w:tcW w:w="2133"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政策依据；</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申请指南：包括补贴对象、补贴范围、补贴标准、申请程序、申请材料、咨询电话、受理单位、办理时限、联系方式等；</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补贴结果；</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《农业机械化促进法》、《农业生产发展资金管理办法》、《2018-2020年农机购置补贴实施指导意见》</w:t>
            </w:r>
          </w:p>
        </w:tc>
        <w:tc>
          <w:tcPr>
            <w:tcW w:w="129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县级农业农村部门</w:t>
            </w:r>
          </w:p>
          <w:p>
            <w:pPr>
              <w:spacing w:line="240" w:lineRule="exact"/>
              <w:rPr>
                <w:rFonts w:hint="eastAsia" w:ascii="仿宋_GB2312" w:hAnsi="仿宋_GB2312" w:eastAsia="仿宋_GB2312" w:cs="仿宋_GB2312"/>
                <w:color w:val="auto"/>
                <w:sz w:val="20"/>
                <w:szCs w:val="20"/>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■政府网站 </w:t>
            </w:r>
          </w:p>
          <w:p>
            <w:pPr>
              <w:spacing w:line="240" w:lineRule="exact"/>
              <w:jc w:val="left"/>
              <w:rPr>
                <w:rFonts w:hint="eastAsia" w:ascii="仿宋_GB2312" w:hAnsi="仿宋_GB2312" w:eastAsia="仿宋_GB2312" w:cs="仿宋_GB2312"/>
                <w:color w:val="auto"/>
                <w:sz w:val="20"/>
                <w:szCs w:val="20"/>
              </w:rPr>
            </w:pPr>
          </w:p>
        </w:tc>
        <w:tc>
          <w:tcPr>
            <w:tcW w:w="594"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耕地地力保护</w:t>
            </w:r>
          </w:p>
        </w:tc>
        <w:tc>
          <w:tcPr>
            <w:tcW w:w="2133"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政策依据；</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申请指南：包括补贴对象、补贴范围、补贴标准、申请程序、申请材料、咨询电话、受理单位、办理时限、联系方式等；</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补贴结果；</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监督渠道：包括举报电话、地址等。</w:t>
            </w:r>
          </w:p>
        </w:tc>
        <w:tc>
          <w:tcPr>
            <w:tcW w:w="2645" w:type="dxa"/>
            <w:tcBorders>
              <w:top w:val="single" w:color="auto" w:sz="4" w:space="0"/>
              <w:left w:val="nil"/>
              <w:bottom w:val="single" w:color="auto" w:sz="4" w:space="0"/>
              <w:right w:val="single" w:color="auto" w:sz="4" w:space="0"/>
            </w:tcBorders>
          </w:tcPr>
          <w:p>
            <w:pP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《农业生产发展资金管理办法》、《财政部 农业部关于全面推开农业“三项补贴”改革工作的通知》</w:t>
            </w:r>
          </w:p>
        </w:tc>
        <w:tc>
          <w:tcPr>
            <w:tcW w:w="129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县级农业农村部门</w:t>
            </w:r>
          </w:p>
          <w:p>
            <w:pPr>
              <w:spacing w:line="240" w:lineRule="exact"/>
              <w:rPr>
                <w:rFonts w:hint="eastAsia" w:ascii="仿宋_GB2312" w:hAnsi="仿宋_GB2312" w:eastAsia="仿宋_GB2312" w:cs="仿宋_GB2312"/>
                <w:color w:val="auto"/>
                <w:sz w:val="20"/>
                <w:szCs w:val="20"/>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■政府网站 </w:t>
            </w:r>
          </w:p>
          <w:p>
            <w:pPr>
              <w:spacing w:line="240" w:lineRule="exact"/>
              <w:jc w:val="left"/>
              <w:rPr>
                <w:rFonts w:hint="eastAsia" w:ascii="仿宋_GB2312" w:hAnsi="仿宋_GB2312" w:eastAsia="仿宋_GB2312" w:cs="仿宋_GB2312"/>
                <w:color w:val="auto"/>
                <w:sz w:val="20"/>
                <w:szCs w:val="20"/>
              </w:rPr>
            </w:pPr>
          </w:p>
        </w:tc>
        <w:tc>
          <w:tcPr>
            <w:tcW w:w="594"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新型职业农民培育</w:t>
            </w:r>
          </w:p>
        </w:tc>
        <w:tc>
          <w:tcPr>
            <w:tcW w:w="2133"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政策依据；</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申请指南：包括补贴对象、补贴范围、补贴标准、申请程序、申请材料、咨询电话、受理单位、办理时限、联系方式等；</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补贴结果；</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9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县级农业农村部门</w:t>
            </w:r>
          </w:p>
          <w:p>
            <w:pPr>
              <w:spacing w:line="240" w:lineRule="exact"/>
              <w:rPr>
                <w:rFonts w:hint="eastAsia" w:ascii="仿宋_GB2312" w:hAnsi="仿宋_GB2312" w:eastAsia="仿宋_GB2312" w:cs="仿宋_GB2312"/>
                <w:color w:val="auto"/>
                <w:sz w:val="20"/>
                <w:szCs w:val="20"/>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■政府网站 </w:t>
            </w:r>
          </w:p>
          <w:p>
            <w:pPr>
              <w:spacing w:line="240" w:lineRule="exact"/>
              <w:jc w:val="left"/>
              <w:rPr>
                <w:rFonts w:hint="eastAsia" w:ascii="仿宋_GB2312" w:hAnsi="仿宋_GB2312" w:eastAsia="仿宋_GB2312" w:cs="仿宋_GB2312"/>
                <w:color w:val="auto"/>
                <w:sz w:val="20"/>
                <w:szCs w:val="20"/>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支持新型农业经营主体</w:t>
            </w:r>
          </w:p>
        </w:tc>
        <w:tc>
          <w:tcPr>
            <w:tcW w:w="2133"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政策依据；</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申请指南：包括补贴对象、补贴范围、补贴标准、申请程序、申请材料、咨询电话、受理单位、办理时限、联系方式等；</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补贴结果；</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业生产发展资金管理办法》、《江门市重点农业龙头企业申报认定与监测管理办法》（江农〔2015〕12号）、《江门市市级扶持农业产业化专项资金使用管理办法》（江农〔2015〕191号）、《关于印发江门市农民合作社市级示范社评定及监测办法的通知》（江农农〔2020〕235号）、《关于印发新会区示范性家庭农场认定办法（试行）的通知》（新农林〔2016〕228号）、《关于印发新会区促进招商引资支持经济转型发展办法（2020年修订版）的通知》（新府办〔2020〕36号）</w:t>
            </w:r>
          </w:p>
        </w:tc>
        <w:tc>
          <w:tcPr>
            <w:tcW w:w="129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信息形成或者变更之日起2个月内。法律、法规对政府信息公开的期限另有规定的，从其规定。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县级农业农村部门</w:t>
            </w:r>
          </w:p>
          <w:p>
            <w:pPr>
              <w:spacing w:line="240" w:lineRule="exact"/>
              <w:rPr>
                <w:rFonts w:hint="eastAsia" w:ascii="仿宋_GB2312" w:hAnsi="仿宋_GB2312" w:eastAsia="仿宋_GB2312" w:cs="仿宋_GB2312"/>
                <w:color w:val="auto"/>
                <w:sz w:val="20"/>
                <w:szCs w:val="20"/>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■政府网站 </w:t>
            </w:r>
          </w:p>
          <w:p>
            <w:pPr>
              <w:spacing w:line="240" w:lineRule="exact"/>
              <w:jc w:val="left"/>
              <w:rPr>
                <w:rFonts w:hint="eastAsia" w:ascii="仿宋_GB2312" w:hAnsi="仿宋_GB2312" w:eastAsia="仿宋_GB2312" w:cs="仿宋_GB2312"/>
                <w:color w:val="auto"/>
                <w:sz w:val="20"/>
                <w:szCs w:val="20"/>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000000"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动物防疫等补助经费</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强制扑杀、强制免疫和养殖环节无害化处理补助</w:t>
            </w:r>
          </w:p>
        </w:tc>
        <w:tc>
          <w:tcPr>
            <w:tcW w:w="2133"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政策依据；</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申请指南：包括补贴对象、补贴范围、补贴标准、申请程序、申请材料、咨询电话、受理单位、办理时限、联系方式等；</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补贴结果；</w:t>
            </w:r>
          </w:p>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《动物防疫法》、《动物防疫等补助经费管理办法》、《关于做好生猪规模化养殖场无害化处理补助相关工作的通知》（江农[2013]30号）</w:t>
            </w:r>
          </w:p>
        </w:tc>
        <w:tc>
          <w:tcPr>
            <w:tcW w:w="129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县级农业农村部门</w:t>
            </w:r>
          </w:p>
          <w:p>
            <w:pPr>
              <w:spacing w:line="240" w:lineRule="exact"/>
              <w:rPr>
                <w:rFonts w:hint="eastAsia" w:ascii="仿宋_GB2312" w:hAnsi="仿宋_GB2312" w:eastAsia="仿宋_GB2312" w:cs="仿宋_GB2312"/>
                <w:color w:val="auto"/>
                <w:sz w:val="20"/>
                <w:szCs w:val="20"/>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■政府网站 </w:t>
            </w:r>
          </w:p>
          <w:p>
            <w:pPr>
              <w:spacing w:line="240" w:lineRule="exact"/>
              <w:jc w:val="left"/>
              <w:rPr>
                <w:rFonts w:hint="eastAsia" w:ascii="仿宋_GB2312" w:hAnsi="仿宋_GB2312" w:eastAsia="仿宋_GB2312" w:cs="仿宋_GB2312"/>
                <w:color w:val="auto"/>
                <w:sz w:val="20"/>
                <w:szCs w:val="20"/>
              </w:rPr>
            </w:pPr>
          </w:p>
        </w:tc>
        <w:tc>
          <w:tcPr>
            <w:tcW w:w="594"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20"/>
                <w:szCs w:val="20"/>
              </w:rPr>
            </w:pPr>
          </w:p>
        </w:tc>
      </w:tr>
      <w:bookmarkEnd w:id="0"/>
    </w:tbl>
    <w:p>
      <w:pPr>
        <w:pStyle w:val="7"/>
        <w:jc w:val="both"/>
      </w:pPr>
    </w:p>
    <w:sectPr>
      <w:pgSz w:w="16838" w:h="11906" w:orient="landscape"/>
      <w:pgMar w:top="1797" w:right="1440" w:bottom="1797" w:left="1440"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A62127F"/>
    <w:rsid w:val="00035BEB"/>
    <w:rsid w:val="00137C5F"/>
    <w:rsid w:val="004935D8"/>
    <w:rsid w:val="004A6BFD"/>
    <w:rsid w:val="00697A20"/>
    <w:rsid w:val="00770288"/>
    <w:rsid w:val="00817871"/>
    <w:rsid w:val="00866AB5"/>
    <w:rsid w:val="00A354B2"/>
    <w:rsid w:val="00B11E69"/>
    <w:rsid w:val="00D67D03"/>
    <w:rsid w:val="00E56F1A"/>
    <w:rsid w:val="00FB7B15"/>
    <w:rsid w:val="4AB819D8"/>
    <w:rsid w:val="5A62127F"/>
    <w:rsid w:val="7D831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标题 Char"/>
    <w:basedOn w:val="9"/>
    <w:link w:val="7"/>
    <w:uiPriority w:val="0"/>
    <w:rPr>
      <w:rFonts w:asciiTheme="majorHAnsi" w:hAnsiTheme="majorHAnsi" w:cstheme="majorBidi"/>
      <w:b/>
      <w:bCs/>
      <w:kern w:val="2"/>
      <w:sz w:val="32"/>
      <w:szCs w:val="32"/>
    </w:rPr>
  </w:style>
  <w:style w:type="character" w:customStyle="1" w:styleId="11">
    <w:name w:val="标题 2 Char"/>
    <w:basedOn w:val="9"/>
    <w:link w:val="3"/>
    <w:uiPriority w:val="0"/>
    <w:rPr>
      <w:rFonts w:asciiTheme="majorHAnsi" w:hAnsiTheme="majorHAnsi" w:eastAsiaTheme="majorEastAsia" w:cstheme="majorBidi"/>
      <w:b/>
      <w:bCs/>
      <w:kern w:val="2"/>
      <w:sz w:val="32"/>
      <w:szCs w:val="32"/>
    </w:rPr>
  </w:style>
  <w:style w:type="character" w:customStyle="1" w:styleId="12">
    <w:name w:val="标题 3 Char"/>
    <w:basedOn w:val="9"/>
    <w:link w:val="4"/>
    <w:uiPriority w:val="0"/>
    <w:rPr>
      <w:rFonts w:asciiTheme="minorHAnsi" w:hAnsiTheme="minorHAnsi" w:eastAsiaTheme="minorEastAsia" w:cstheme="minorBidi"/>
      <w:b/>
      <w:bCs/>
      <w:kern w:val="2"/>
      <w:sz w:val="32"/>
      <w:szCs w:val="32"/>
    </w:rPr>
  </w:style>
  <w:style w:type="character" w:customStyle="1" w:styleId="13">
    <w:name w:val="页眉 Char"/>
    <w:basedOn w:val="9"/>
    <w:link w:val="6"/>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EBB72-7AD5-4FB7-9950-A58E82540A7B}">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3</Pages>
  <Words>228</Words>
  <Characters>1305</Characters>
  <Lines>10</Lines>
  <Paragraphs>3</Paragraphs>
  <TotalTime>37</TotalTime>
  <ScaleCrop>false</ScaleCrop>
  <LinksUpToDate>false</LinksUpToDate>
  <CharactersWithSpaces>1530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2020-10-30T09:11:00Z</dcterms:created>
  <dc:creator>Guo</dc:creator>
  <cp:lastModifiedBy>勤辉</cp:lastModifiedBy>
  <dcterms:modified xsi:type="dcterms:W3CDTF">2020-12-02T05:29:50Z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