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19" w:rsidRDefault="003774A3">
      <w:pPr>
        <w:rPr>
          <w:sz w:val="32"/>
        </w:rPr>
      </w:pPr>
      <w:r>
        <w:rPr>
          <w:rFonts w:hint="eastAsia"/>
          <w:sz w:val="32"/>
        </w:rPr>
        <w:t xml:space="preserve">                    </w:t>
      </w:r>
    </w:p>
    <w:p w:rsidR="00AC2D19" w:rsidRDefault="003774A3">
      <w:pPr>
        <w:rPr>
          <w:sz w:val="32"/>
        </w:rPr>
      </w:pPr>
      <w:r>
        <w:rPr>
          <w:rFonts w:hint="eastAsia"/>
          <w:sz w:val="32"/>
        </w:rPr>
        <w:t xml:space="preserve">   </w:t>
      </w:r>
    </w:p>
    <w:p w:rsidR="00AC2D19" w:rsidRDefault="00AC2D19">
      <w:pPr>
        <w:spacing w:line="580" w:lineRule="exact"/>
        <w:rPr>
          <w:rFonts w:eastAsia="方正仿宋简体"/>
          <w:sz w:val="32"/>
        </w:rPr>
      </w:pPr>
    </w:p>
    <w:p w:rsidR="00AC2D19" w:rsidRDefault="00AC2D19"/>
    <w:p w:rsidR="00AC2D19" w:rsidRDefault="00AC2D19"/>
    <w:p w:rsidR="00AC2D19" w:rsidRDefault="00AC2D19"/>
    <w:p w:rsidR="00AC2D19" w:rsidRDefault="00AC2D19"/>
    <w:p w:rsidR="00AC2D19" w:rsidRDefault="003774A3">
      <w:pPr>
        <w:rPr>
          <w:rFonts w:eastAsia="仿宋_GB2312"/>
          <w:sz w:val="32"/>
        </w:rPr>
      </w:pPr>
      <w:r>
        <w:rPr>
          <w:rFonts w:hint="eastAsia"/>
          <w:sz w:val="32"/>
        </w:rPr>
        <w:t xml:space="preserve">                    </w:t>
      </w:r>
    </w:p>
    <w:p w:rsidR="00AC2D19" w:rsidRDefault="003774A3">
      <w:pPr>
        <w:jc w:val="center"/>
        <w:rPr>
          <w:rFonts w:eastAsia="仿宋_GB2312"/>
          <w:sz w:val="32"/>
        </w:rPr>
      </w:pPr>
      <w:r>
        <w:rPr>
          <w:rFonts w:eastAsia="仿宋_GB2312"/>
          <w:sz w:val="32"/>
        </w:rPr>
        <w:t>新府办〔</w:t>
      </w:r>
      <w:r>
        <w:rPr>
          <w:rFonts w:eastAsia="仿宋_GB2312"/>
          <w:sz w:val="32"/>
        </w:rPr>
        <w:t>2</w:t>
      </w:r>
      <w:r>
        <w:rPr>
          <w:rFonts w:eastAsia="仿宋_GB2312" w:hint="eastAsia"/>
          <w:sz w:val="32"/>
        </w:rPr>
        <w:t>0</w:t>
      </w:r>
      <w:r>
        <w:rPr>
          <w:rFonts w:eastAsia="仿宋_GB2312" w:hint="eastAsia"/>
          <w:sz w:val="32"/>
        </w:rPr>
        <w:t>20</w:t>
      </w:r>
      <w:r>
        <w:rPr>
          <w:rFonts w:eastAsia="仿宋_GB2312"/>
          <w:sz w:val="32"/>
        </w:rPr>
        <w:t>〕</w:t>
      </w:r>
      <w:r>
        <w:rPr>
          <w:rFonts w:eastAsia="仿宋_GB2312" w:hint="eastAsia"/>
          <w:sz w:val="32"/>
        </w:rPr>
        <w:t xml:space="preserve">  </w:t>
      </w:r>
      <w:r>
        <w:rPr>
          <w:rFonts w:eastAsia="仿宋_GB2312"/>
          <w:sz w:val="32"/>
        </w:rPr>
        <w:t>号</w:t>
      </w:r>
    </w:p>
    <w:p w:rsidR="00AC2D19" w:rsidRDefault="00AC2D19">
      <w:pPr>
        <w:jc w:val="center"/>
        <w:rPr>
          <w:rFonts w:eastAsia="仿宋_GB2312"/>
          <w:sz w:val="32"/>
        </w:rPr>
      </w:pPr>
    </w:p>
    <w:p w:rsidR="00AC2D19" w:rsidRDefault="003774A3">
      <w:pPr>
        <w:spacing w:line="640" w:lineRule="exact"/>
        <w:jc w:val="center"/>
        <w:rPr>
          <w:rFonts w:eastAsia="方正小标宋简体"/>
          <w:color w:val="000000"/>
          <w:sz w:val="44"/>
          <w:szCs w:val="44"/>
        </w:rPr>
      </w:pPr>
      <w:r>
        <w:rPr>
          <w:rFonts w:eastAsia="方正小标宋简体" w:hint="eastAsia"/>
          <w:color w:val="000000"/>
          <w:sz w:val="44"/>
          <w:szCs w:val="44"/>
        </w:rPr>
        <w:t>关于印发新会区区级财政专项资金管理</w:t>
      </w:r>
    </w:p>
    <w:p w:rsidR="00AC2D19" w:rsidRDefault="003774A3">
      <w:pPr>
        <w:spacing w:line="640" w:lineRule="exact"/>
        <w:jc w:val="center"/>
        <w:rPr>
          <w:rFonts w:eastAsia="方正小标宋简体"/>
          <w:color w:val="000000"/>
          <w:sz w:val="44"/>
          <w:szCs w:val="44"/>
        </w:rPr>
      </w:pPr>
      <w:r>
        <w:rPr>
          <w:rFonts w:eastAsia="方正小标宋简体" w:hint="eastAsia"/>
          <w:color w:val="000000"/>
          <w:sz w:val="44"/>
          <w:szCs w:val="44"/>
        </w:rPr>
        <w:t>办法（试行</w:t>
      </w:r>
      <w:r>
        <w:rPr>
          <w:rFonts w:eastAsia="方正小标宋简体" w:hint="eastAsia"/>
          <w:color w:val="000000"/>
          <w:sz w:val="44"/>
          <w:szCs w:val="44"/>
        </w:rPr>
        <w:t>）</w:t>
      </w:r>
      <w:r>
        <w:rPr>
          <w:rFonts w:eastAsia="方正小标宋简体"/>
          <w:color w:val="000000"/>
          <w:sz w:val="44"/>
          <w:szCs w:val="44"/>
        </w:rPr>
        <w:t>的通</w:t>
      </w:r>
      <w:r>
        <w:rPr>
          <w:rFonts w:eastAsia="方正小标宋简体" w:hint="eastAsia"/>
          <w:color w:val="000000"/>
          <w:sz w:val="44"/>
          <w:szCs w:val="44"/>
        </w:rPr>
        <w:t>知</w:t>
      </w:r>
    </w:p>
    <w:p w:rsidR="00AC2D19" w:rsidRDefault="00AC2D19">
      <w:pPr>
        <w:jc w:val="center"/>
        <w:rPr>
          <w:rFonts w:eastAsia="仿宋_GB2312"/>
          <w:sz w:val="32"/>
        </w:rPr>
      </w:pPr>
    </w:p>
    <w:p w:rsidR="00AC2D19" w:rsidRDefault="003774A3">
      <w:pPr>
        <w:spacing w:line="560" w:lineRule="exact"/>
        <w:rPr>
          <w:rFonts w:ascii="仿宋_GB2312" w:eastAsia="仿宋_GB2312"/>
          <w:sz w:val="32"/>
          <w:szCs w:val="32"/>
        </w:rPr>
      </w:pPr>
      <w:r>
        <w:rPr>
          <w:rFonts w:ascii="仿宋_GB2312" w:eastAsia="仿宋_GB2312" w:hAnsi="Tahoma" w:cs="Tahoma" w:hint="eastAsia"/>
          <w:kern w:val="0"/>
          <w:sz w:val="32"/>
          <w:szCs w:val="32"/>
        </w:rPr>
        <w:t>各镇人民政府，经济开发区管委会，圭峰区管委会（会城街道办），区政府各部门：</w:t>
      </w:r>
    </w:p>
    <w:p w:rsidR="00AC2D19" w:rsidRDefault="003774A3">
      <w:pPr>
        <w:spacing w:line="560" w:lineRule="exact"/>
        <w:ind w:firstLineChars="200" w:firstLine="640"/>
        <w:rPr>
          <w:rFonts w:ascii="仿宋_GB2312" w:eastAsia="仿宋_GB2312" w:hAnsi="Tahoma" w:cs="Tahoma"/>
          <w:kern w:val="0"/>
          <w:sz w:val="32"/>
          <w:szCs w:val="32"/>
        </w:rPr>
      </w:pPr>
      <w:r>
        <w:rPr>
          <w:rFonts w:ascii="仿宋_GB2312" w:eastAsia="仿宋_GB2312" w:hAnsi="Tahoma" w:cs="Tahoma"/>
          <w:kern w:val="0"/>
          <w:sz w:val="32"/>
          <w:szCs w:val="32"/>
        </w:rPr>
        <w:t>《</w:t>
      </w:r>
      <w:r>
        <w:rPr>
          <w:rFonts w:ascii="仿宋_GB2312" w:eastAsia="仿宋_GB2312" w:hAnsi="Tahoma" w:cs="Tahoma" w:hint="eastAsia"/>
          <w:kern w:val="0"/>
          <w:sz w:val="32"/>
          <w:szCs w:val="32"/>
        </w:rPr>
        <w:t>新会区区级财政专项资金管理办法（试行</w:t>
      </w:r>
      <w:r>
        <w:rPr>
          <w:rFonts w:ascii="仿宋_GB2312" w:eastAsia="仿宋_GB2312" w:hAnsi="Tahoma" w:cs="Tahoma" w:hint="eastAsia"/>
          <w:kern w:val="0"/>
          <w:sz w:val="32"/>
          <w:szCs w:val="32"/>
        </w:rPr>
        <w:t>）</w:t>
      </w:r>
      <w:r>
        <w:rPr>
          <w:rFonts w:ascii="仿宋_GB2312" w:eastAsia="仿宋_GB2312" w:hAnsi="Tahoma" w:cs="Tahoma"/>
          <w:kern w:val="0"/>
          <w:sz w:val="32"/>
          <w:szCs w:val="32"/>
        </w:rPr>
        <w:t>》</w:t>
      </w:r>
      <w:r>
        <w:rPr>
          <w:rFonts w:ascii="仿宋_GB2312" w:eastAsia="仿宋_GB2312" w:hAnsi="Tahoma" w:cs="Tahoma" w:hint="eastAsia"/>
          <w:kern w:val="0"/>
          <w:sz w:val="32"/>
          <w:szCs w:val="32"/>
        </w:rPr>
        <w:t>业经区政府十五届</w:t>
      </w:r>
      <w:r>
        <w:rPr>
          <w:rFonts w:ascii="仿宋_GB2312" w:eastAsia="仿宋_GB2312" w:hAnsi="Tahoma" w:cs="Tahoma" w:hint="eastAsia"/>
          <w:kern w:val="0"/>
          <w:sz w:val="32"/>
          <w:szCs w:val="32"/>
        </w:rPr>
        <w:t>94</w:t>
      </w:r>
      <w:r>
        <w:rPr>
          <w:rFonts w:ascii="仿宋_GB2312" w:eastAsia="仿宋_GB2312" w:hAnsi="Tahoma" w:cs="Tahoma" w:hint="eastAsia"/>
          <w:kern w:val="0"/>
          <w:sz w:val="32"/>
          <w:szCs w:val="32"/>
        </w:rPr>
        <w:t>次常务会议审议通过</w:t>
      </w:r>
      <w:r>
        <w:rPr>
          <w:rFonts w:ascii="仿宋_GB2312" w:eastAsia="仿宋_GB2312" w:hAnsi="Tahoma" w:cs="Tahoma"/>
          <w:kern w:val="0"/>
          <w:sz w:val="32"/>
          <w:szCs w:val="32"/>
        </w:rPr>
        <w:t>，现印发给你们，请认真贯彻执行。执行</w:t>
      </w:r>
      <w:r>
        <w:rPr>
          <w:rFonts w:ascii="仿宋_GB2312" w:eastAsia="仿宋_GB2312" w:hAnsi="Tahoma" w:cs="Tahoma" w:hint="eastAsia"/>
          <w:kern w:val="0"/>
          <w:sz w:val="32"/>
          <w:szCs w:val="32"/>
        </w:rPr>
        <w:t>过程</w:t>
      </w:r>
      <w:r>
        <w:rPr>
          <w:rFonts w:ascii="仿宋_GB2312" w:eastAsia="仿宋_GB2312" w:hAnsi="Tahoma" w:cs="Tahoma"/>
          <w:kern w:val="0"/>
          <w:sz w:val="32"/>
          <w:szCs w:val="32"/>
        </w:rPr>
        <w:t>中遇到的问题，</w:t>
      </w:r>
      <w:r>
        <w:rPr>
          <w:rFonts w:ascii="仿宋_GB2312" w:eastAsia="仿宋_GB2312" w:hAnsi="Tahoma" w:cs="Tahoma" w:hint="eastAsia"/>
          <w:kern w:val="0"/>
          <w:sz w:val="32"/>
          <w:szCs w:val="32"/>
        </w:rPr>
        <w:t>请径向区</w:t>
      </w:r>
      <w:r>
        <w:rPr>
          <w:rFonts w:ascii="仿宋_GB2312" w:eastAsia="仿宋_GB2312" w:hAnsi="Tahoma" w:cs="Tahoma" w:hint="eastAsia"/>
          <w:kern w:val="0"/>
          <w:sz w:val="32"/>
          <w:szCs w:val="32"/>
        </w:rPr>
        <w:t>财政局</w:t>
      </w:r>
      <w:r>
        <w:rPr>
          <w:rFonts w:ascii="仿宋_GB2312" w:eastAsia="仿宋_GB2312" w:hAnsi="Tahoma" w:cs="Tahoma" w:hint="eastAsia"/>
          <w:kern w:val="0"/>
          <w:sz w:val="32"/>
          <w:szCs w:val="32"/>
        </w:rPr>
        <w:t>反映。</w:t>
      </w:r>
    </w:p>
    <w:p w:rsidR="00AC2D19" w:rsidRDefault="00AC2D19">
      <w:pPr>
        <w:spacing w:line="560" w:lineRule="exact"/>
        <w:rPr>
          <w:rFonts w:eastAsia="方正仿宋简体"/>
          <w:sz w:val="32"/>
        </w:rPr>
      </w:pPr>
    </w:p>
    <w:p w:rsidR="00AC2D19" w:rsidRDefault="00AC2D19">
      <w:pPr>
        <w:spacing w:line="560" w:lineRule="exact"/>
        <w:rPr>
          <w:rFonts w:eastAsia="方正仿宋简体"/>
          <w:sz w:val="32"/>
        </w:rPr>
      </w:pPr>
    </w:p>
    <w:p w:rsidR="00AC2D19" w:rsidRDefault="00AC2D19">
      <w:pPr>
        <w:spacing w:line="560" w:lineRule="exact"/>
        <w:rPr>
          <w:rFonts w:eastAsia="方正仿宋简体"/>
          <w:sz w:val="32"/>
        </w:rPr>
      </w:pPr>
    </w:p>
    <w:p w:rsidR="00AC2D19" w:rsidRDefault="003774A3">
      <w:pPr>
        <w:spacing w:line="560" w:lineRule="exact"/>
        <w:ind w:leftChars="2204" w:left="4628" w:firstLineChars="147" w:firstLine="470"/>
        <w:rPr>
          <w:rFonts w:ascii="仿宋_GB2312" w:eastAsia="仿宋_GB2312"/>
          <w:sz w:val="32"/>
        </w:rPr>
      </w:pPr>
      <w:r>
        <w:rPr>
          <w:rFonts w:ascii="仿宋_GB2312" w:eastAsia="仿宋_GB2312" w:hint="eastAsia"/>
          <w:sz w:val="32"/>
        </w:rPr>
        <w:t>新会区人民政府办公室</w:t>
      </w:r>
    </w:p>
    <w:p w:rsidR="00AC2D19" w:rsidRDefault="003774A3">
      <w:pPr>
        <w:spacing w:line="560" w:lineRule="exact"/>
        <w:ind w:leftChars="2204" w:left="4628" w:firstLineChars="147" w:firstLine="470"/>
        <w:rPr>
          <w:rFonts w:eastAsia="仿宋_GB2312"/>
          <w:sz w:val="32"/>
        </w:rPr>
      </w:pPr>
      <w:r>
        <w:rPr>
          <w:rFonts w:eastAsia="方正仿宋简体"/>
          <w:sz w:val="32"/>
        </w:rPr>
        <w:t xml:space="preserve">  </w:t>
      </w:r>
      <w:r>
        <w:rPr>
          <w:rFonts w:eastAsia="仿宋_GB2312"/>
          <w:sz w:val="32"/>
          <w:szCs w:val="32"/>
        </w:rPr>
        <w:t>20</w:t>
      </w:r>
      <w:r>
        <w:rPr>
          <w:rFonts w:eastAsia="仿宋_GB2312" w:hint="eastAsia"/>
          <w:sz w:val="32"/>
          <w:szCs w:val="32"/>
        </w:rPr>
        <w:t>20</w:t>
      </w:r>
      <w:r>
        <w:rPr>
          <w:rFonts w:eastAsia="仿宋_GB2312" w:hAnsi="仿宋_GB2312"/>
          <w:sz w:val="32"/>
          <w:szCs w:val="32"/>
        </w:rPr>
        <w:t>年</w:t>
      </w:r>
      <w:r>
        <w:rPr>
          <w:rFonts w:eastAsia="仿宋_GB2312" w:hint="eastAsia"/>
          <w:sz w:val="32"/>
          <w:szCs w:val="32"/>
        </w:rPr>
        <w:t>2</w:t>
      </w:r>
      <w:r>
        <w:rPr>
          <w:rFonts w:eastAsia="仿宋_GB2312" w:hAnsi="仿宋_GB2312"/>
          <w:sz w:val="32"/>
          <w:szCs w:val="32"/>
        </w:rPr>
        <w:t>月</w:t>
      </w:r>
      <w:r>
        <w:rPr>
          <w:rFonts w:eastAsia="仿宋_GB2312" w:hint="eastAsia"/>
          <w:sz w:val="32"/>
          <w:szCs w:val="32"/>
        </w:rPr>
        <w:t xml:space="preserve">  </w:t>
      </w:r>
      <w:r>
        <w:rPr>
          <w:rFonts w:eastAsia="仿宋_GB2312" w:hAnsi="仿宋_GB2312"/>
          <w:sz w:val="32"/>
          <w:szCs w:val="32"/>
        </w:rPr>
        <w:t>日</w:t>
      </w:r>
    </w:p>
    <w:p w:rsidR="00AC2D19" w:rsidRDefault="00AC2D19">
      <w:pPr>
        <w:spacing w:line="560" w:lineRule="exact"/>
        <w:rPr>
          <w:rFonts w:eastAsia="方正仿宋简体"/>
          <w:sz w:val="32"/>
        </w:rPr>
      </w:pPr>
    </w:p>
    <w:p w:rsidR="00AC2D19" w:rsidRDefault="003774A3">
      <w:pPr>
        <w:spacing w:line="800" w:lineRule="exact"/>
        <w:jc w:val="center"/>
        <w:rPr>
          <w:rFonts w:ascii="方正小标宋简体" w:eastAsia="方正小标宋简体" w:hAnsiTheme="majorEastAsia" w:cstheme="minorBidi"/>
          <w:bCs/>
          <w:sz w:val="44"/>
          <w:szCs w:val="44"/>
        </w:rPr>
      </w:pPr>
      <w:r>
        <w:rPr>
          <w:rFonts w:ascii="方正小标宋简体" w:eastAsia="方正小标宋简体" w:hAnsiTheme="majorEastAsia" w:cstheme="minorBidi" w:hint="eastAsia"/>
          <w:bCs/>
          <w:sz w:val="44"/>
          <w:szCs w:val="44"/>
        </w:rPr>
        <w:lastRenderedPageBreak/>
        <w:t>新会区区级财政专项资金管理办法（试行）</w:t>
      </w:r>
    </w:p>
    <w:p w:rsidR="00AC2D19" w:rsidRDefault="00AC2D19">
      <w:pPr>
        <w:jc w:val="center"/>
        <w:rPr>
          <w:rFonts w:ascii="仿宋_GB2312" w:eastAsia="仿宋_GB2312" w:hAnsiTheme="minorHAnsi" w:cstheme="minorBidi"/>
          <w:sz w:val="32"/>
          <w:szCs w:val="32"/>
        </w:rPr>
      </w:pPr>
    </w:p>
    <w:p w:rsidR="00AC2D19" w:rsidRDefault="003774A3">
      <w:pPr>
        <w:jc w:val="center"/>
        <w:rPr>
          <w:rFonts w:ascii="黑体" w:eastAsia="黑体" w:hAnsi="黑体" w:cstheme="minorBidi"/>
          <w:bCs/>
          <w:sz w:val="32"/>
          <w:szCs w:val="32"/>
        </w:rPr>
      </w:pPr>
      <w:r>
        <w:rPr>
          <w:rFonts w:ascii="黑体" w:eastAsia="黑体" w:hAnsi="黑体" w:cstheme="minorBidi" w:hint="eastAsia"/>
          <w:bCs/>
          <w:sz w:val="32"/>
          <w:szCs w:val="32"/>
        </w:rPr>
        <w:t>第一章</w:t>
      </w:r>
      <w:r>
        <w:rPr>
          <w:rFonts w:ascii="黑体" w:eastAsia="黑体" w:hAnsi="黑体" w:cstheme="minorBidi" w:hint="eastAsia"/>
          <w:bCs/>
          <w:sz w:val="32"/>
          <w:szCs w:val="32"/>
        </w:rPr>
        <w:t xml:space="preserve"> </w:t>
      </w:r>
      <w:r>
        <w:rPr>
          <w:rFonts w:ascii="黑体" w:eastAsia="黑体" w:hAnsi="黑体" w:cstheme="minorBidi" w:hint="eastAsia"/>
          <w:bCs/>
          <w:sz w:val="32"/>
          <w:szCs w:val="32"/>
        </w:rPr>
        <w:t>总则</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第一条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为进一步规范我区财政专项资金管理，提高财政资金使用效益，根据《中华人民共和国预算法》等法律法规和上级深化预算编制执行监督管理改革的部署要求，以及我区</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关于深化区级预算编制执行监督管理改革意见</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的</w:t>
      </w:r>
      <w:r>
        <w:rPr>
          <w:rFonts w:ascii="仿宋_GB2312" w:eastAsia="仿宋_GB2312" w:hAnsiTheme="minorHAnsi" w:cstheme="minorBidi"/>
          <w:sz w:val="32"/>
          <w:szCs w:val="32"/>
        </w:rPr>
        <w:t>有关规定，</w:t>
      </w:r>
      <w:r>
        <w:rPr>
          <w:rFonts w:ascii="仿宋_GB2312" w:eastAsia="仿宋_GB2312" w:hAnsiTheme="minorHAnsi" w:cstheme="minorBidi" w:hint="eastAsia"/>
          <w:sz w:val="32"/>
          <w:szCs w:val="32"/>
        </w:rPr>
        <w:t>参照省、市级财政专项资金管理试行办法，结合我区实际制定本办法。</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第二条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本办法所称区级财政专项资金（以下简称区级专项资金），是指为支持我区经济社会各项事业发展，由区财政通过一般公共预算、政府性基金预算、国有资本经营预算安排，具有专门用途和绩效目标的财政资金。</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上级财政补助资金以及按照现行财政管理体制对各镇</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街、区</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的返还性支出和一般性转移支付资金、区财政部门直接按因素法或固定标准分配的财政资金等，不纳入区级专项资金管理范围，按照国家、省、市和</w:t>
      </w:r>
      <w:r>
        <w:rPr>
          <w:rFonts w:ascii="仿宋_GB2312" w:eastAsia="仿宋_GB2312" w:hAnsiTheme="minorHAnsi" w:cstheme="minorBidi"/>
          <w:sz w:val="32"/>
          <w:szCs w:val="32"/>
        </w:rPr>
        <w:t>区</w:t>
      </w:r>
      <w:r>
        <w:rPr>
          <w:rFonts w:ascii="仿宋_GB2312" w:eastAsia="仿宋_GB2312" w:hAnsiTheme="minorHAnsi" w:cstheme="minorBidi" w:hint="eastAsia"/>
          <w:sz w:val="32"/>
          <w:szCs w:val="32"/>
        </w:rPr>
        <w:t>有关规定管理。</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第三条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区级专项资金实行目录清单管理。区本级设立的改善和保障民生、支持经济高质量发展以及促进社会各项事业发展等各类专项</w:t>
      </w:r>
      <w:r>
        <w:rPr>
          <w:rFonts w:ascii="仿宋_GB2312" w:eastAsia="仿宋_GB2312" w:hAnsiTheme="minorHAnsi" w:cstheme="minorBidi" w:hint="eastAsia"/>
          <w:sz w:val="32"/>
          <w:szCs w:val="32"/>
        </w:rPr>
        <w:t>资金纳入专项资金目录清单管理，对其存续、调整情况进行动态跟踪，符合以下</w:t>
      </w:r>
      <w:r>
        <w:rPr>
          <w:rFonts w:ascii="仿宋_GB2312" w:eastAsia="仿宋_GB2312" w:hAnsiTheme="minorHAnsi" w:cstheme="minorBidi"/>
          <w:sz w:val="32"/>
          <w:szCs w:val="32"/>
        </w:rPr>
        <w:t>条件之一的原则上应纳入区级专项资金管理</w:t>
      </w:r>
      <w:r>
        <w:rPr>
          <w:rFonts w:ascii="仿宋_GB2312" w:eastAsia="仿宋_GB2312" w:hAnsiTheme="minorHAnsi" w:cstheme="minorBidi" w:hint="eastAsia"/>
          <w:sz w:val="32"/>
          <w:szCs w:val="32"/>
        </w:rPr>
        <w:t>。</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lastRenderedPageBreak/>
        <w:t>（一）区本级自行设立</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具有专门用途</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并纳入年度预算和绩效管理的区级专项资金。</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（二）区本级按上级要求设立或配套安排的区级专项资金（除列入一般性转移支付资金外）。</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（三）面向企事业单位、社会组织或个人申请，由预算单位负责组织申报审核和制定资金分配使用计划的区级专项资金。</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（四）根据中长期发展规划连续滚动安排的事业发展类区级专项资金。</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区级专项资金管理目录清单由区财政部门每年更新、公布。</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第四条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区级</w:t>
      </w:r>
      <w:r>
        <w:rPr>
          <w:rFonts w:ascii="仿宋_GB2312" w:eastAsia="仿宋_GB2312" w:hAnsiTheme="minorHAnsi" w:cstheme="minorBidi" w:hint="eastAsia"/>
          <w:sz w:val="32"/>
          <w:szCs w:val="32"/>
        </w:rPr>
        <w:t>专项资金管理遵循以下原则：</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（一）集中财力，保障重点。</w:t>
      </w:r>
      <w:r>
        <w:rPr>
          <w:rFonts w:ascii="仿宋_GB2312" w:eastAsia="仿宋_GB2312" w:hAnsiTheme="minorHAnsi" w:cstheme="minorBidi" w:hint="eastAsia"/>
          <w:sz w:val="32"/>
          <w:szCs w:val="32"/>
        </w:rPr>
        <w:t>区级专项资金优先保障中央、省、市和</w:t>
      </w:r>
      <w:r>
        <w:rPr>
          <w:rFonts w:ascii="仿宋_GB2312" w:eastAsia="仿宋_GB2312" w:hAnsiTheme="minorHAnsi" w:cstheme="minorBidi"/>
          <w:sz w:val="32"/>
          <w:szCs w:val="32"/>
        </w:rPr>
        <w:t>区</w:t>
      </w:r>
      <w:r>
        <w:rPr>
          <w:rFonts w:ascii="仿宋_GB2312" w:eastAsia="仿宋_GB2312" w:hAnsiTheme="minorHAnsi" w:cstheme="minorBidi" w:hint="eastAsia"/>
          <w:sz w:val="32"/>
          <w:szCs w:val="32"/>
        </w:rPr>
        <w:t>部署的重大改革、重要政策和重点项目资金需求，不留“硬缺口”。加强各种来源财政资金的统筹使用，集中财力办大事。</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（二）严格设立，规范管理。</w:t>
      </w:r>
      <w:r>
        <w:rPr>
          <w:rFonts w:ascii="仿宋_GB2312" w:eastAsia="仿宋_GB2312" w:hAnsiTheme="minorHAnsi" w:cstheme="minorBidi" w:hint="eastAsia"/>
          <w:sz w:val="32"/>
          <w:szCs w:val="32"/>
        </w:rPr>
        <w:t>区级专项资金设立应符合公共财政支出范围，遵循财政事权和支出责任相匹配原则，不得与财政收支规模、增幅或生产总值等挂钩。严格控制区级专项资金的数量和规模，不得每办理一项工作或开展一项事业新设一项区级专项资金</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区级专项资金使用性质、管理特点类同、支持对象相近的，应予以归并或整合，一项用途由</w:t>
      </w:r>
      <w:r>
        <w:rPr>
          <w:rFonts w:ascii="仿宋_GB2312" w:eastAsia="仿宋_GB2312" w:hAnsiTheme="minorHAnsi" w:cstheme="minorBidi" w:hint="eastAsia"/>
          <w:sz w:val="32"/>
          <w:szCs w:val="32"/>
        </w:rPr>
        <w:t>一个部门分配。</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（三）动态管理，提前储备。</w:t>
      </w:r>
      <w:r>
        <w:rPr>
          <w:rFonts w:ascii="仿宋_GB2312" w:eastAsia="仿宋_GB2312" w:hAnsiTheme="minorHAnsi" w:cstheme="minorBidi" w:hint="eastAsia"/>
          <w:sz w:val="32"/>
          <w:szCs w:val="32"/>
        </w:rPr>
        <w:t>区级专项资金结合</w:t>
      </w:r>
      <w:r>
        <w:rPr>
          <w:rFonts w:ascii="仿宋_GB2312" w:eastAsia="仿宋_GB2312" w:hAnsiTheme="minorHAnsi" w:cstheme="minorBidi"/>
          <w:sz w:val="32"/>
          <w:szCs w:val="32"/>
        </w:rPr>
        <w:t>项目库储备，</w:t>
      </w:r>
      <w:r>
        <w:rPr>
          <w:rFonts w:ascii="仿宋_GB2312" w:eastAsia="仿宋_GB2312" w:hAnsiTheme="minorHAnsi" w:cstheme="minorBidi" w:hint="eastAsia"/>
          <w:sz w:val="32"/>
          <w:szCs w:val="32"/>
        </w:rPr>
        <w:lastRenderedPageBreak/>
        <w:t>根据各部门事业发展长期规划和三年滚动预算谋划，对区级专项资金需求进行动态管理。树立“先谋事，再安排资金”的理念，做实项目前期研究论证，提前储备项目，科学谋划区级专项资金支持重点，确保区级专项资金安排与项目有效衔接。</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（四）绩效优先，加强考核。</w:t>
      </w:r>
      <w:r>
        <w:rPr>
          <w:rFonts w:ascii="仿宋_GB2312" w:eastAsia="仿宋_GB2312" w:hAnsiTheme="minorHAnsi" w:cstheme="minorBidi" w:hint="eastAsia"/>
          <w:sz w:val="32"/>
          <w:szCs w:val="32"/>
        </w:rPr>
        <w:t>全面实施预算绩效管理，加强区级专项资金绩效目标申报、审核和监控。完善财政预算管理工作绩效评价机制，将部门预算绩效管理评价结果纳入区机关单位绩效考核范围，将财政管理评价结果与下年</w:t>
      </w:r>
      <w:r>
        <w:rPr>
          <w:rFonts w:ascii="仿宋_GB2312" w:eastAsia="仿宋_GB2312" w:hAnsiTheme="minorHAnsi" w:cstheme="minorBidi"/>
          <w:sz w:val="32"/>
          <w:szCs w:val="32"/>
        </w:rPr>
        <w:t>预算编制</w:t>
      </w:r>
      <w:r>
        <w:rPr>
          <w:rFonts w:ascii="仿宋_GB2312" w:eastAsia="仿宋_GB2312" w:hAnsiTheme="minorHAnsi" w:cstheme="minorBidi" w:hint="eastAsia"/>
          <w:sz w:val="32"/>
          <w:szCs w:val="32"/>
        </w:rPr>
        <w:t>挂钩。</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（五）定期退出，滚动安排。</w:t>
      </w:r>
      <w:r>
        <w:rPr>
          <w:rFonts w:ascii="仿宋_GB2312" w:eastAsia="仿宋_GB2312" w:hAnsiTheme="minorHAnsi" w:cstheme="minorBidi" w:hint="eastAsia"/>
          <w:sz w:val="32"/>
          <w:szCs w:val="32"/>
        </w:rPr>
        <w:t>除国家、</w:t>
      </w:r>
      <w:r>
        <w:rPr>
          <w:rFonts w:ascii="仿宋_GB2312" w:eastAsia="仿宋_GB2312" w:hAnsiTheme="minorHAnsi" w:cstheme="minorBidi"/>
          <w:sz w:val="32"/>
          <w:szCs w:val="32"/>
        </w:rPr>
        <w:t>省</w:t>
      </w:r>
      <w:r>
        <w:rPr>
          <w:rFonts w:ascii="仿宋_GB2312" w:eastAsia="仿宋_GB2312" w:hAnsiTheme="minorHAnsi" w:cstheme="minorBidi" w:hint="eastAsia"/>
          <w:sz w:val="32"/>
          <w:szCs w:val="32"/>
        </w:rPr>
        <w:t>和</w:t>
      </w:r>
      <w:r>
        <w:rPr>
          <w:rFonts w:ascii="仿宋_GB2312" w:eastAsia="仿宋_GB2312" w:hAnsiTheme="minorHAnsi" w:cstheme="minorBidi"/>
          <w:sz w:val="32"/>
          <w:szCs w:val="32"/>
        </w:rPr>
        <w:t>市</w:t>
      </w:r>
      <w:r>
        <w:rPr>
          <w:rFonts w:ascii="仿宋_GB2312" w:eastAsia="仿宋_GB2312" w:hAnsiTheme="minorHAnsi" w:cstheme="minorBidi" w:hint="eastAsia"/>
          <w:sz w:val="32"/>
          <w:szCs w:val="32"/>
        </w:rPr>
        <w:t>政策要求设立的区级专项资金外，每项区级专项资金支持的政策实施期限一般不超过</w:t>
      </w:r>
      <w:r>
        <w:rPr>
          <w:rFonts w:ascii="仿宋_GB2312" w:eastAsia="仿宋_GB2312" w:hAnsiTheme="minorHAnsi" w:cstheme="minorBidi" w:hint="eastAsia"/>
          <w:sz w:val="32"/>
          <w:szCs w:val="32"/>
        </w:rPr>
        <w:t>3</w:t>
      </w:r>
      <w:r>
        <w:rPr>
          <w:rFonts w:ascii="仿宋_GB2312" w:eastAsia="仿宋_GB2312" w:hAnsiTheme="minorHAnsi" w:cstheme="minorBidi" w:hint="eastAsia"/>
          <w:sz w:val="32"/>
          <w:szCs w:val="32"/>
        </w:rPr>
        <w:t>年，最高不超过</w:t>
      </w:r>
      <w:r>
        <w:rPr>
          <w:rFonts w:ascii="仿宋_GB2312" w:eastAsia="仿宋_GB2312" w:hAnsiTheme="minorHAnsi" w:cstheme="minorBidi" w:hint="eastAsia"/>
          <w:sz w:val="32"/>
          <w:szCs w:val="32"/>
        </w:rPr>
        <w:t>5</w:t>
      </w:r>
      <w:r>
        <w:rPr>
          <w:rFonts w:ascii="仿宋_GB2312" w:eastAsia="仿宋_GB2312" w:hAnsiTheme="minorHAnsi" w:cstheme="minorBidi" w:hint="eastAsia"/>
          <w:sz w:val="32"/>
          <w:szCs w:val="32"/>
        </w:rPr>
        <w:t>年。确需继续实施的，在实施期满前一年开展研究论证和绩效评价，并按新设立区级专项资金程序申请报批。属于跨年度支出的，分年度编制预算。</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（六）公开透明，接受监督。</w:t>
      </w:r>
      <w:r>
        <w:rPr>
          <w:rFonts w:ascii="仿宋_GB2312" w:eastAsia="仿宋_GB2312" w:hAnsiTheme="minorHAnsi" w:cstheme="minorBidi" w:hint="eastAsia"/>
          <w:sz w:val="32"/>
          <w:szCs w:val="32"/>
        </w:rPr>
        <w:t>健全监管机制，全面推进信息公开，主动接受人大、审计等部门和社会各界监督，保障区级专项资金阳光透明运行。</w:t>
      </w:r>
    </w:p>
    <w:p w:rsidR="00AC2D19" w:rsidRDefault="00AC2D19">
      <w:pPr>
        <w:ind w:firstLineChars="200" w:firstLine="640"/>
        <w:rPr>
          <w:rFonts w:ascii="仿宋_GB2312" w:eastAsia="仿宋_GB2312" w:hAnsiTheme="minorHAnsi" w:cstheme="minorBidi"/>
          <w:sz w:val="32"/>
          <w:szCs w:val="32"/>
        </w:rPr>
      </w:pPr>
    </w:p>
    <w:p w:rsidR="00AC2D19" w:rsidRDefault="003774A3">
      <w:pPr>
        <w:jc w:val="center"/>
        <w:rPr>
          <w:rFonts w:ascii="黑体" w:eastAsia="黑体" w:hAnsi="黑体" w:cstheme="minorBidi"/>
          <w:bCs/>
          <w:sz w:val="32"/>
          <w:szCs w:val="32"/>
        </w:rPr>
      </w:pPr>
      <w:r>
        <w:rPr>
          <w:rFonts w:ascii="黑体" w:eastAsia="黑体" w:hAnsi="黑体" w:cstheme="minorBidi" w:hint="eastAsia"/>
          <w:bCs/>
          <w:sz w:val="32"/>
          <w:szCs w:val="32"/>
        </w:rPr>
        <w:t>第二章</w:t>
      </w:r>
      <w:r>
        <w:rPr>
          <w:rFonts w:ascii="黑体" w:eastAsia="黑体" w:hAnsi="黑体" w:cstheme="minorBidi" w:hint="eastAsia"/>
          <w:bCs/>
          <w:sz w:val="32"/>
          <w:szCs w:val="32"/>
        </w:rPr>
        <w:t xml:space="preserve">  </w:t>
      </w:r>
      <w:r>
        <w:rPr>
          <w:rFonts w:ascii="黑体" w:eastAsia="黑体" w:hAnsi="黑体" w:cstheme="minorBidi" w:hint="eastAsia"/>
          <w:bCs/>
          <w:sz w:val="32"/>
          <w:szCs w:val="32"/>
        </w:rPr>
        <w:t>预算编制</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第五条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区业务主管部门要按照区委、区政府决策部署，围绕全区经济社会发展规划和重大专项规划，对照分</w:t>
      </w:r>
      <w:r>
        <w:rPr>
          <w:rFonts w:ascii="仿宋_GB2312" w:eastAsia="仿宋_GB2312" w:hAnsiTheme="minorHAnsi" w:cstheme="minorBidi" w:hint="eastAsia"/>
          <w:sz w:val="32"/>
          <w:szCs w:val="32"/>
        </w:rPr>
        <w:t>管行业领域事业发展的目标任务，研究确定区级专项资金重点支持方向。</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lastRenderedPageBreak/>
        <w:t>第六条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应通过内部集体研究、实地调研、专家论证、委托第三方专业机构评审等方式，对新增设立区级专项资金的必要性、科学性、合理性、可行性等进行研究论证。属于上级政策要求和区委、区政府重大决策部署的，按照有关规定开展研究论证。</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第七条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与上级专项资金分类相衔接，区级专项资金目录分为“战略领域”“财政事权”“政策任务”</w:t>
      </w:r>
      <w:r>
        <w:rPr>
          <w:rFonts w:ascii="仿宋_GB2312" w:eastAsia="仿宋_GB2312" w:hAnsiTheme="minorHAnsi" w:cstheme="minorBidi" w:hint="eastAsia"/>
          <w:sz w:val="32"/>
          <w:szCs w:val="32"/>
        </w:rPr>
        <w:t>3</w:t>
      </w:r>
      <w:r>
        <w:rPr>
          <w:rFonts w:ascii="仿宋_GB2312" w:eastAsia="仿宋_GB2312" w:hAnsiTheme="minorHAnsi" w:cstheme="minorBidi" w:hint="eastAsia"/>
          <w:sz w:val="32"/>
          <w:szCs w:val="32"/>
        </w:rPr>
        <w:t>层结构编制（样表详见附件</w:t>
      </w:r>
      <w:r>
        <w:rPr>
          <w:rFonts w:eastAsia="仿宋_GB2312"/>
          <w:sz w:val="32"/>
          <w:szCs w:val="32"/>
        </w:rPr>
        <w:t>2-3</w:t>
      </w:r>
      <w:r>
        <w:rPr>
          <w:rFonts w:ascii="仿宋_GB2312" w:eastAsia="仿宋_GB2312" w:hAnsiTheme="minorHAnsi" w:cstheme="minorBidi" w:hint="eastAsia"/>
          <w:sz w:val="32"/>
          <w:szCs w:val="32"/>
        </w:rPr>
        <w:t>）。“战略领域”由财政部门根据省、市和</w:t>
      </w:r>
      <w:r>
        <w:rPr>
          <w:rFonts w:ascii="仿宋_GB2312" w:eastAsia="仿宋_GB2312" w:hAnsiTheme="minorHAnsi" w:cstheme="minorBidi"/>
          <w:sz w:val="32"/>
          <w:szCs w:val="32"/>
        </w:rPr>
        <w:t>区</w:t>
      </w:r>
      <w:r>
        <w:rPr>
          <w:rFonts w:ascii="仿宋_GB2312" w:eastAsia="仿宋_GB2312" w:hAnsiTheme="minorHAnsi" w:cstheme="minorBidi" w:hint="eastAsia"/>
          <w:sz w:val="32"/>
          <w:szCs w:val="32"/>
        </w:rPr>
        <w:t>重点工作部署结合实际情况统一设置，动态调整；“财</w:t>
      </w:r>
      <w:r>
        <w:rPr>
          <w:rFonts w:ascii="仿宋_GB2312" w:eastAsia="仿宋_GB2312" w:hAnsiTheme="minorHAnsi" w:cstheme="minorBidi" w:hint="eastAsia"/>
          <w:sz w:val="32"/>
          <w:szCs w:val="32"/>
        </w:rPr>
        <w:t>政事权”（对应现行项目库“一级项目”，以下简称“一级项目”）根据财政事权和支出责任划分改革要求，由区财政部门会同区业务主管部门按部门职责梳理设置</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“政策任务”</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对应现行项目库“二级项目”，以下简称“二级项目”）由区业务主管部门根据年度需完成的重点工作任务设置。每个一级项目专项资金由一个业务主管部门负责管理，二级项目涉及跨部门的，应由业务内容占主导地位的业务主管部门统筹，相关部门主动衔接做好预算编制等事宜。</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区业务主管部门按照轻重缓急原则对二级项目进行排序，按零基预算原则，结合中期财政规划确定额度，具体项目可</w:t>
      </w:r>
      <w:r>
        <w:rPr>
          <w:rFonts w:ascii="仿宋_GB2312" w:eastAsia="仿宋_GB2312" w:hAnsiTheme="minorHAnsi" w:cstheme="minorBidi" w:hint="eastAsia"/>
          <w:sz w:val="32"/>
          <w:szCs w:val="32"/>
        </w:rPr>
        <w:t>结合年度实际情况安排，不受以往年度项目基数限制。</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区业务主管部门编制的区级专项资金政策任务目录清单，需按“三重一大”要求经部门党组会议或办公会议集体审议，报分</w:t>
      </w:r>
      <w:r>
        <w:rPr>
          <w:rFonts w:ascii="仿宋_GB2312" w:eastAsia="仿宋_GB2312" w:hAnsiTheme="minorHAnsi" w:cstheme="minorBidi" w:hint="eastAsia"/>
          <w:sz w:val="32"/>
          <w:szCs w:val="32"/>
        </w:rPr>
        <w:lastRenderedPageBreak/>
        <w:t>管区领导专题研究或审核后，报区财政部门。区财政部门复核后，汇总报分管财政工作的区领导核呈区长审批。如因收支平衡需要，压减经批准的区级专项资金预算，由区财政部门按程序纳入年度预算草案报批。</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第八条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区业务主管部门应在制定区级专项资金政策任务目录清单时同步明确具体项目审批权限归属。</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区级专项资金根据不同政策任务建立“部门项目清单”。区财政部门原则上不参与专</w:t>
      </w:r>
      <w:r>
        <w:rPr>
          <w:rFonts w:ascii="仿宋_GB2312" w:eastAsia="仿宋_GB2312" w:hAnsiTheme="minorHAnsi" w:cstheme="minorBidi" w:hint="eastAsia"/>
          <w:sz w:val="32"/>
          <w:szCs w:val="32"/>
        </w:rPr>
        <w:t>项资金项目的具体审批，对确需全区统筹的重大支出的部分专项资金，具体项目结合年度部门预算安排情况确定。区业务主管部门要通过竞争性分配、专项评审论证、委托第三方专业评估机构、集体研究审核等情况，确定保留和下放项目。</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属于直接面向基层、量大面广、由各镇（街</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区）或用款单位实施更为便捷有效的资金，原则上由区业务主管部门依法将具体项目审批权限下放各镇（街</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区）或用款单位，从事前审批或复核改为事后备案，并按因素法切块下达</w:t>
      </w:r>
      <w:r>
        <w:rPr>
          <w:rFonts w:ascii="仿宋_GB2312" w:eastAsia="仿宋_GB2312" w:hAnsi="仿宋_GB2312" w:cs="仿宋_GB2312" w:hint="eastAsia"/>
          <w:sz w:val="32"/>
          <w:szCs w:val="32"/>
        </w:rPr>
        <w:t>资金。根据“大专项</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任务清单”的管理要求，区业务主管部门通过集体研究等方式，充分考虑任务量、积极性和用款绩效等情况，采用因素法切块分配到各镇（街</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区）或用款单位，由各镇（街</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区）和用款单位分配到具体项目。</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第九条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区级专项资金全面实行项目库管理。区业务主管部</w:t>
      </w:r>
      <w:r>
        <w:rPr>
          <w:rFonts w:ascii="仿宋_GB2312" w:eastAsia="仿宋_GB2312" w:hAnsiTheme="minorHAnsi" w:cstheme="minorBidi" w:hint="eastAsia"/>
          <w:sz w:val="32"/>
          <w:szCs w:val="32"/>
        </w:rPr>
        <w:lastRenderedPageBreak/>
        <w:t>门、各镇（街</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区）按照“谁审批、谁组织申报”的原则做好项目储备，原则上提前一年组织项目研究谋划、评审论证、入库储备和排序择优，具体可委托第三方专业机构组织实施。未纳入项目库的项目，原则上不安排预算。上级驻地</w:t>
      </w:r>
      <w:r>
        <w:rPr>
          <w:rFonts w:ascii="仿宋_GB2312" w:eastAsia="仿宋_GB2312" w:hAnsiTheme="minorHAnsi" w:cstheme="minorBidi"/>
          <w:sz w:val="32"/>
          <w:szCs w:val="32"/>
        </w:rPr>
        <w:t>单位如需要本地区安排资金的参照我</w:t>
      </w:r>
      <w:r>
        <w:rPr>
          <w:rFonts w:ascii="仿宋_GB2312" w:eastAsia="仿宋_GB2312" w:hAnsiTheme="minorHAnsi" w:cstheme="minorBidi" w:hint="eastAsia"/>
          <w:sz w:val="32"/>
          <w:szCs w:val="32"/>
        </w:rPr>
        <w:t>区</w:t>
      </w:r>
      <w:r>
        <w:rPr>
          <w:rFonts w:ascii="仿宋_GB2312" w:eastAsia="仿宋_GB2312" w:hAnsiTheme="minorHAnsi" w:cstheme="minorBidi"/>
          <w:sz w:val="32"/>
          <w:szCs w:val="32"/>
        </w:rPr>
        <w:t>业务主管部门做法在我区申报</w:t>
      </w:r>
      <w:r>
        <w:rPr>
          <w:rFonts w:ascii="仿宋_GB2312" w:eastAsia="仿宋_GB2312" w:hAnsiTheme="minorHAnsi" w:cstheme="minorBidi" w:hint="eastAsia"/>
          <w:sz w:val="32"/>
          <w:szCs w:val="32"/>
        </w:rPr>
        <w:t>项目预算，我区其他社会团体或企业涉及使用区级专项资金的，在</w:t>
      </w:r>
      <w:r>
        <w:rPr>
          <w:rFonts w:ascii="仿宋_GB2312" w:eastAsia="仿宋_GB2312" w:hAnsiTheme="minorHAnsi" w:cstheme="minorBidi"/>
          <w:sz w:val="32"/>
          <w:szCs w:val="32"/>
        </w:rPr>
        <w:t>其</w:t>
      </w:r>
      <w:r>
        <w:rPr>
          <w:rFonts w:ascii="仿宋_GB2312" w:eastAsia="仿宋_GB2312" w:hAnsiTheme="minorHAnsi" w:cstheme="minorBidi" w:hint="eastAsia"/>
          <w:sz w:val="32"/>
          <w:szCs w:val="32"/>
        </w:rPr>
        <w:t>相应业务主管部门申报项目。基础建设投资项目应完成项目立项审批程序后再安排区级专项资金。</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第十条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w:t>
      </w:r>
      <w:r>
        <w:rPr>
          <w:rFonts w:ascii="仿宋_GB2312" w:eastAsia="仿宋_GB2312" w:hAnsiTheme="minorHAnsi" w:cstheme="minorBidi"/>
          <w:sz w:val="32"/>
          <w:szCs w:val="32"/>
        </w:rPr>
        <w:t>主管部门在编制</w:t>
      </w:r>
      <w:r>
        <w:rPr>
          <w:rFonts w:ascii="仿宋_GB2312" w:eastAsia="仿宋_GB2312" w:hAnsiTheme="minorHAnsi" w:cstheme="minorBidi" w:hint="eastAsia"/>
          <w:sz w:val="32"/>
          <w:szCs w:val="32"/>
        </w:rPr>
        <w:t>区级</w:t>
      </w:r>
      <w:r>
        <w:rPr>
          <w:rFonts w:ascii="仿宋_GB2312" w:eastAsia="仿宋_GB2312" w:hAnsiTheme="minorHAnsi" w:cstheme="minorBidi"/>
          <w:sz w:val="32"/>
          <w:szCs w:val="32"/>
        </w:rPr>
        <w:t>专项资金</w:t>
      </w:r>
      <w:r>
        <w:rPr>
          <w:rFonts w:ascii="仿宋_GB2312" w:eastAsia="仿宋_GB2312" w:hAnsiTheme="minorHAnsi" w:cstheme="minorBidi" w:hint="eastAsia"/>
          <w:sz w:val="32"/>
          <w:szCs w:val="32"/>
        </w:rPr>
        <w:t>目录</w:t>
      </w:r>
      <w:r>
        <w:rPr>
          <w:rFonts w:ascii="仿宋_GB2312" w:eastAsia="仿宋_GB2312" w:hAnsiTheme="minorHAnsi" w:cstheme="minorBidi"/>
          <w:sz w:val="32"/>
          <w:szCs w:val="32"/>
        </w:rPr>
        <w:t>清单时</w:t>
      </w:r>
      <w:r>
        <w:rPr>
          <w:rFonts w:ascii="仿宋_GB2312" w:eastAsia="仿宋_GB2312" w:hAnsiTheme="minorHAnsi" w:cstheme="minorBidi" w:hint="eastAsia"/>
          <w:sz w:val="32"/>
          <w:szCs w:val="32"/>
        </w:rPr>
        <w:t>，</w:t>
      </w:r>
      <w:r>
        <w:rPr>
          <w:rFonts w:ascii="仿宋_GB2312" w:eastAsia="仿宋_GB2312" w:hAnsiTheme="minorHAnsi" w:cstheme="minorBidi"/>
          <w:sz w:val="32"/>
          <w:szCs w:val="32"/>
        </w:rPr>
        <w:t>应设定项目总体绩效目标，未按要求设定总体绩效目标</w:t>
      </w:r>
      <w:r>
        <w:rPr>
          <w:rFonts w:ascii="仿宋_GB2312" w:eastAsia="仿宋_GB2312" w:hAnsiTheme="minorHAnsi" w:cstheme="minorBidi" w:hint="eastAsia"/>
          <w:sz w:val="32"/>
          <w:szCs w:val="32"/>
        </w:rPr>
        <w:t>或</w:t>
      </w:r>
      <w:r>
        <w:rPr>
          <w:rFonts w:ascii="仿宋_GB2312" w:eastAsia="仿宋_GB2312" w:hAnsiTheme="minorHAnsi" w:cstheme="minorBidi"/>
          <w:sz w:val="32"/>
          <w:szCs w:val="32"/>
        </w:rPr>
        <w:t>总体绩效目标审核未通过的，原则上不得纳入项目库。</w:t>
      </w:r>
      <w:r>
        <w:rPr>
          <w:rFonts w:ascii="仿宋_GB2312" w:eastAsia="仿宋_GB2312" w:hAnsiTheme="minorHAnsi" w:cstheme="minorBidi" w:hint="eastAsia"/>
          <w:sz w:val="32"/>
          <w:szCs w:val="32"/>
        </w:rPr>
        <w:t>在编制年度部门</w:t>
      </w:r>
      <w:r>
        <w:rPr>
          <w:rFonts w:ascii="仿宋_GB2312" w:eastAsia="仿宋_GB2312" w:hAnsiTheme="minorHAnsi" w:cstheme="minorBidi"/>
          <w:sz w:val="32"/>
          <w:szCs w:val="32"/>
        </w:rPr>
        <w:t>预算时</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对</w:t>
      </w:r>
      <w:r>
        <w:rPr>
          <w:rFonts w:ascii="仿宋_GB2312" w:eastAsia="仿宋_GB2312" w:hAnsiTheme="minorHAnsi" w:cstheme="minorBidi"/>
          <w:sz w:val="32"/>
          <w:szCs w:val="32"/>
        </w:rPr>
        <w:t>应年度的预算计划</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要</w:t>
      </w:r>
      <w:r>
        <w:rPr>
          <w:rFonts w:ascii="仿宋_GB2312" w:eastAsia="仿宋_GB2312" w:hAnsiTheme="minorHAnsi" w:cstheme="minorBidi"/>
          <w:sz w:val="32"/>
          <w:szCs w:val="32"/>
        </w:rPr>
        <w:t>编制专项资金</w:t>
      </w:r>
      <w:r>
        <w:rPr>
          <w:rFonts w:ascii="仿宋_GB2312" w:eastAsia="仿宋_GB2312" w:hAnsiTheme="minorHAnsi" w:cstheme="minorBidi" w:hint="eastAsia"/>
          <w:sz w:val="32"/>
          <w:szCs w:val="32"/>
        </w:rPr>
        <w:t>“二级</w:t>
      </w:r>
      <w:r>
        <w:rPr>
          <w:rFonts w:ascii="仿宋_GB2312" w:eastAsia="仿宋_GB2312" w:hAnsiTheme="minorHAnsi" w:cstheme="minorBidi"/>
          <w:sz w:val="32"/>
          <w:szCs w:val="32"/>
        </w:rPr>
        <w:t>项目</w:t>
      </w:r>
      <w:r>
        <w:rPr>
          <w:rFonts w:ascii="仿宋_GB2312" w:eastAsia="仿宋_GB2312" w:hAnsiTheme="minorHAnsi" w:cstheme="minorBidi" w:hint="eastAsia"/>
          <w:sz w:val="32"/>
          <w:szCs w:val="32"/>
        </w:rPr>
        <w:t>”的</w:t>
      </w:r>
      <w:r>
        <w:rPr>
          <w:rFonts w:ascii="仿宋_GB2312" w:eastAsia="仿宋_GB2312" w:hAnsiTheme="minorHAnsi" w:cstheme="minorBidi"/>
          <w:sz w:val="32"/>
          <w:szCs w:val="32"/>
        </w:rPr>
        <w:t>年度绩效目标</w:t>
      </w:r>
      <w:r>
        <w:rPr>
          <w:rFonts w:ascii="仿宋_GB2312" w:eastAsia="仿宋_GB2312" w:hAnsiTheme="minorHAnsi" w:cstheme="minorBidi" w:hint="eastAsia"/>
          <w:sz w:val="32"/>
          <w:szCs w:val="32"/>
        </w:rPr>
        <w:t>。</w:t>
      </w:r>
      <w:r>
        <w:rPr>
          <w:rFonts w:ascii="仿宋_GB2312" w:eastAsia="仿宋_GB2312" w:hAnsiTheme="minorHAnsi" w:cstheme="minorBidi"/>
          <w:sz w:val="32"/>
          <w:szCs w:val="32"/>
        </w:rPr>
        <w:t>绩效指标</w:t>
      </w:r>
      <w:r>
        <w:rPr>
          <w:rFonts w:ascii="仿宋_GB2312" w:eastAsia="仿宋_GB2312" w:hAnsiTheme="minorHAnsi" w:cstheme="minorBidi" w:hint="eastAsia"/>
          <w:sz w:val="32"/>
          <w:szCs w:val="32"/>
        </w:rPr>
        <w:t>的</w:t>
      </w:r>
      <w:r>
        <w:rPr>
          <w:rFonts w:ascii="仿宋_GB2312" w:eastAsia="仿宋_GB2312" w:hAnsiTheme="minorHAnsi" w:cstheme="minorBidi"/>
          <w:sz w:val="32"/>
          <w:szCs w:val="32"/>
        </w:rPr>
        <w:t>设置要适当</w:t>
      </w:r>
      <w:r>
        <w:rPr>
          <w:rFonts w:ascii="仿宋_GB2312" w:eastAsia="仿宋_GB2312" w:hAnsiTheme="minorHAnsi" w:cstheme="minorBidi" w:hint="eastAsia"/>
          <w:sz w:val="32"/>
          <w:szCs w:val="32"/>
        </w:rPr>
        <w:t>，确保可量化、可评估。区</w:t>
      </w:r>
      <w:r>
        <w:rPr>
          <w:rFonts w:ascii="仿宋_GB2312" w:eastAsia="仿宋_GB2312" w:hAnsiTheme="minorHAnsi" w:cstheme="minorBidi"/>
          <w:sz w:val="32"/>
          <w:szCs w:val="32"/>
        </w:rPr>
        <w:t>财政部门对有关业务主管部门报送的绩效目标进行审核，审核结果作为项目执行监控和事后绩效评</w:t>
      </w:r>
      <w:r>
        <w:rPr>
          <w:rFonts w:ascii="仿宋_GB2312" w:eastAsia="仿宋_GB2312" w:hAnsiTheme="minorHAnsi" w:cstheme="minorBidi"/>
          <w:sz w:val="32"/>
          <w:szCs w:val="32"/>
        </w:rPr>
        <w:t>价的依据。</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第十一条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各镇（街、区）可从区级专项资金中适当安排下一年度项目的前期论证、立项、入库评审等工作经费。前期工作经费计提额度或比例由各项区级专项资金管理办法具体规定，计提总量不得超过该“一级项目”金额的</w:t>
      </w:r>
      <w:r>
        <w:rPr>
          <w:rFonts w:eastAsia="仿宋_GB2312"/>
          <w:sz w:val="32"/>
          <w:szCs w:val="32"/>
        </w:rPr>
        <w:t>3%</w:t>
      </w:r>
      <w:r>
        <w:rPr>
          <w:rFonts w:ascii="仿宋_GB2312" w:eastAsia="仿宋_GB2312" w:hAnsiTheme="minorHAnsi" w:cstheme="minorBidi" w:hint="eastAsia"/>
          <w:sz w:val="32"/>
          <w:szCs w:val="32"/>
        </w:rPr>
        <w:t>（其他文件有专门规定的按其规定执行）。</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第十二条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区业务主管部门、财政部门在编报预算时，应对</w:t>
      </w:r>
      <w:r>
        <w:rPr>
          <w:rFonts w:ascii="仿宋_GB2312" w:eastAsia="仿宋_GB2312" w:hAnsiTheme="minorHAnsi" w:cstheme="minorBidi" w:hint="eastAsia"/>
          <w:sz w:val="32"/>
          <w:szCs w:val="32"/>
        </w:rPr>
        <w:lastRenderedPageBreak/>
        <w:t>存在以下情形的区级专项资金进行调整、压减或撤销。包括：原设立的目标已完成，无需再安排的；审批政策依据等发生变化，不适合再安排的；支出结构不合理，使用分散的；审计、监督检查和绩效管理发现违法违</w:t>
      </w:r>
      <w:r>
        <w:rPr>
          <w:rFonts w:ascii="仿宋_GB2312" w:eastAsia="仿宋_GB2312" w:hAnsiTheme="minorHAnsi" w:cstheme="minorBidi" w:hint="eastAsia"/>
          <w:sz w:val="32"/>
          <w:szCs w:val="32"/>
        </w:rPr>
        <w:t>规问题，情节严重或整改无效的；绩效评价结果为中、低、差的；群众满意度低的；预算执行进度缓慢或连年结转结余的。</w:t>
      </w:r>
    </w:p>
    <w:p w:rsidR="00AC2D19" w:rsidRDefault="003774A3">
      <w:pPr>
        <w:ind w:firstLineChars="200" w:firstLine="643"/>
        <w:rPr>
          <w:rFonts w:ascii="仿宋_GB2312" w:eastAsia="仿宋_GB2312" w:hAnsiTheme="minorHAnsi" w:cstheme="minorBidi"/>
          <w:sz w:val="32"/>
          <w:szCs w:val="32"/>
          <w:highlight w:val="yellow"/>
          <w:u w:val="single"/>
        </w:rPr>
      </w:pPr>
      <w:r>
        <w:rPr>
          <w:rFonts w:ascii="仿宋_GB2312" w:eastAsia="仿宋_GB2312" w:hAnsiTheme="minorHAnsi" w:cstheme="minorBidi" w:hint="eastAsia"/>
          <w:b/>
          <w:sz w:val="32"/>
          <w:szCs w:val="32"/>
        </w:rPr>
        <w:t>第十三条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区业务主管部门因新增职责或阶段性重大工作任务，统筹当年预算资金额度仍无法解决，确需新设区级专项资金“一级项目”的，由区业务主管部门会财政部门按以下程序报批：</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（一）设立</w:t>
      </w:r>
      <w:r>
        <w:rPr>
          <w:rFonts w:ascii="仿宋_GB2312" w:eastAsia="仿宋_GB2312" w:hAnsiTheme="minorHAnsi" w:cstheme="minorBidi" w:hint="eastAsia"/>
          <w:sz w:val="32"/>
          <w:szCs w:val="32"/>
        </w:rPr>
        <w:t>设立总金额在</w:t>
      </w:r>
      <w:r>
        <w:rPr>
          <w:rFonts w:ascii="仿宋_GB2312" w:eastAsia="仿宋_GB2312" w:hAnsiTheme="minorHAnsi" w:cstheme="minorBidi" w:hint="eastAsia"/>
          <w:sz w:val="32"/>
          <w:szCs w:val="32"/>
        </w:rPr>
        <w:t>50</w:t>
      </w:r>
      <w:r>
        <w:rPr>
          <w:rFonts w:ascii="仿宋_GB2312" w:eastAsia="仿宋_GB2312" w:hAnsiTheme="minorHAnsi" w:cstheme="minorBidi" w:hint="eastAsia"/>
          <w:sz w:val="32"/>
          <w:szCs w:val="32"/>
        </w:rPr>
        <w:t>万元（含</w:t>
      </w:r>
      <w:r>
        <w:rPr>
          <w:rFonts w:ascii="仿宋_GB2312" w:eastAsia="仿宋_GB2312" w:hAnsiTheme="minorHAnsi" w:cstheme="minorBidi" w:hint="eastAsia"/>
          <w:sz w:val="32"/>
          <w:szCs w:val="32"/>
        </w:rPr>
        <w:t>50</w:t>
      </w:r>
      <w:r>
        <w:rPr>
          <w:rFonts w:ascii="仿宋_GB2312" w:eastAsia="仿宋_GB2312" w:hAnsiTheme="minorHAnsi" w:cstheme="minorBidi" w:hint="eastAsia"/>
          <w:sz w:val="32"/>
          <w:szCs w:val="32"/>
        </w:rPr>
        <w:t>万元）以下的，由分管业务和分管财政工作的区领导审批。</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（二）设立总金额在</w:t>
      </w:r>
      <w:r>
        <w:rPr>
          <w:rFonts w:ascii="仿宋_GB2312" w:eastAsia="仿宋_GB2312" w:hAnsiTheme="minorHAnsi" w:cstheme="minorBidi" w:hint="eastAsia"/>
          <w:sz w:val="32"/>
          <w:szCs w:val="32"/>
        </w:rPr>
        <w:t>50</w:t>
      </w:r>
      <w:r>
        <w:rPr>
          <w:rFonts w:ascii="仿宋_GB2312" w:eastAsia="仿宋_GB2312" w:hAnsiTheme="minorHAnsi" w:cstheme="minorBidi" w:hint="eastAsia"/>
          <w:sz w:val="32"/>
          <w:szCs w:val="32"/>
        </w:rPr>
        <w:t>万元到</w:t>
      </w:r>
      <w:r>
        <w:rPr>
          <w:rFonts w:ascii="仿宋_GB2312" w:eastAsia="仿宋_GB2312" w:hAnsiTheme="minorHAnsi" w:cstheme="minorBidi" w:hint="eastAsia"/>
          <w:sz w:val="32"/>
          <w:szCs w:val="32"/>
        </w:rPr>
        <w:t>500</w:t>
      </w:r>
      <w:r>
        <w:rPr>
          <w:rFonts w:ascii="仿宋_GB2312" w:eastAsia="仿宋_GB2312" w:hAnsiTheme="minorHAnsi" w:cstheme="minorBidi" w:hint="eastAsia"/>
          <w:sz w:val="32"/>
          <w:szCs w:val="32"/>
        </w:rPr>
        <w:t>万元（含</w:t>
      </w:r>
      <w:r>
        <w:rPr>
          <w:rFonts w:ascii="仿宋_GB2312" w:eastAsia="仿宋_GB2312" w:hAnsiTheme="minorHAnsi" w:cstheme="minorBidi" w:hint="eastAsia"/>
          <w:sz w:val="32"/>
          <w:szCs w:val="32"/>
        </w:rPr>
        <w:t>500</w:t>
      </w:r>
      <w:r>
        <w:rPr>
          <w:rFonts w:ascii="仿宋_GB2312" w:eastAsia="仿宋_GB2312" w:hAnsiTheme="minorHAnsi" w:cstheme="minorBidi" w:hint="eastAsia"/>
          <w:sz w:val="32"/>
          <w:szCs w:val="32"/>
        </w:rPr>
        <w:t>万元）的，由分管业务和分管财政工作的区领导审核后，报区政府主要领导审批。</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（三）设立总金额在</w:t>
      </w:r>
      <w:r>
        <w:rPr>
          <w:rFonts w:ascii="仿宋_GB2312" w:eastAsia="仿宋_GB2312" w:hAnsiTheme="minorHAnsi" w:cstheme="minorBidi" w:hint="eastAsia"/>
          <w:sz w:val="32"/>
          <w:szCs w:val="32"/>
        </w:rPr>
        <w:t>5</w:t>
      </w:r>
      <w:r>
        <w:rPr>
          <w:rFonts w:ascii="仿宋_GB2312" w:eastAsia="仿宋_GB2312" w:hAnsiTheme="minorHAnsi" w:cstheme="minorBidi" w:hint="eastAsia"/>
          <w:sz w:val="32"/>
          <w:szCs w:val="32"/>
        </w:rPr>
        <w:t>00</w:t>
      </w:r>
      <w:r>
        <w:rPr>
          <w:rFonts w:ascii="仿宋_GB2312" w:eastAsia="仿宋_GB2312" w:hAnsiTheme="minorHAnsi" w:cstheme="minorBidi" w:hint="eastAsia"/>
          <w:sz w:val="32"/>
          <w:szCs w:val="32"/>
        </w:rPr>
        <w:t>万元以上的，由分管业务和分管财政工作的区领导审核后，报区政府主要领导审批，提交区政府常务会议研究，其中</w:t>
      </w:r>
      <w:r>
        <w:rPr>
          <w:rFonts w:ascii="仿宋_GB2312" w:eastAsia="仿宋_GB2312" w:hAnsiTheme="minorHAnsi" w:cstheme="minorBidi" w:hint="eastAsia"/>
          <w:sz w:val="32"/>
          <w:szCs w:val="32"/>
        </w:rPr>
        <w:t>2000</w:t>
      </w:r>
      <w:r>
        <w:rPr>
          <w:rFonts w:ascii="仿宋_GB2312" w:eastAsia="仿宋_GB2312" w:hAnsiTheme="minorHAnsi" w:cstheme="minorBidi" w:hint="eastAsia"/>
          <w:sz w:val="32"/>
          <w:szCs w:val="32"/>
        </w:rPr>
        <w:t>万以上的还需提交区委常委会会议研究。</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第十四条</w:t>
      </w:r>
      <w:r>
        <w:rPr>
          <w:rFonts w:ascii="仿宋_GB2312" w:eastAsia="仿宋_GB2312" w:hAnsiTheme="minorHAnsi" w:cstheme="minorBidi" w:hint="eastAsia"/>
          <w:b/>
          <w:sz w:val="32"/>
          <w:szCs w:val="32"/>
        </w:rPr>
        <w:t xml:space="preserve"> </w:t>
      </w:r>
      <w:r>
        <w:rPr>
          <w:rFonts w:ascii="仿宋_GB2312" w:eastAsia="仿宋_GB2312" w:hAnsiTheme="minorHAnsi" w:cstheme="minorBidi" w:hint="eastAsia"/>
          <w:sz w:val="32"/>
          <w:szCs w:val="32"/>
        </w:rPr>
        <w:t>区级专项资金设立后，资金使用用途、范围和规模原则上不得随意变更。因客观原因确需变更的，变更内容涉及今后主要任务、资金主要用途和范围，或下一年度调增金额超过该一级项目原资金</w:t>
      </w:r>
      <w:r>
        <w:rPr>
          <w:rFonts w:eastAsia="仿宋_GB2312"/>
          <w:sz w:val="32"/>
          <w:szCs w:val="32"/>
        </w:rPr>
        <w:t>额度</w:t>
      </w:r>
      <w:r>
        <w:rPr>
          <w:rFonts w:eastAsia="仿宋_GB2312"/>
          <w:sz w:val="32"/>
          <w:szCs w:val="32"/>
        </w:rPr>
        <w:t>20%</w:t>
      </w:r>
      <w:r>
        <w:rPr>
          <w:rFonts w:eastAsia="仿宋_GB2312"/>
          <w:sz w:val="32"/>
          <w:szCs w:val="32"/>
        </w:rPr>
        <w:t>的，由区业务主管部门按上述第十三</w:t>
      </w:r>
      <w:r>
        <w:rPr>
          <w:rFonts w:eastAsia="仿宋_GB2312"/>
          <w:sz w:val="32"/>
          <w:szCs w:val="32"/>
        </w:rPr>
        <w:lastRenderedPageBreak/>
        <w:t>条规定办理；</w:t>
      </w:r>
      <w:r>
        <w:rPr>
          <w:rFonts w:eastAsia="仿宋_GB2312"/>
          <w:sz w:val="32"/>
          <w:szCs w:val="32"/>
        </w:rPr>
        <w:t>20%</w:t>
      </w:r>
      <w:r>
        <w:rPr>
          <w:rFonts w:eastAsia="仿宋_GB2312"/>
          <w:sz w:val="32"/>
          <w:szCs w:val="32"/>
        </w:rPr>
        <w:t>（含</w:t>
      </w:r>
      <w:r>
        <w:rPr>
          <w:rFonts w:eastAsia="仿宋_GB2312"/>
          <w:sz w:val="32"/>
          <w:szCs w:val="32"/>
        </w:rPr>
        <w:t>20%</w:t>
      </w:r>
      <w:r>
        <w:rPr>
          <w:rFonts w:eastAsia="仿宋_GB2312"/>
          <w:sz w:val="32"/>
          <w:szCs w:val="32"/>
        </w:rPr>
        <w:t>）以下的，按预算编报程序办理。年度预算执行中的调整，按本办法</w:t>
      </w:r>
      <w:r>
        <w:rPr>
          <w:rFonts w:ascii="仿宋_GB2312" w:eastAsia="仿宋_GB2312" w:hAnsiTheme="minorHAnsi" w:cstheme="minorBidi" w:hint="eastAsia"/>
          <w:sz w:val="32"/>
          <w:szCs w:val="32"/>
        </w:rPr>
        <w:t>第十八条规定办理。</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第十五条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细化编制专项资金预算时，对保留区级审批项目的，要细化选取具体项目和明确绩效目标；对下放审批权限的，要将资金和绩效目标细化分配至镇（街、区）或用款单位。区财政部门汇总纳入预算草案按规定报批，并办理资金提前下达和预算批复。</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各业务主管部门要提前研究确定区级专项资金用途、方向（二级项目）和金额，报分管区领导审批后纳入部门预算申报，逐步实现细化到具体可执行项目。严格控制部门代编预算，同时，为应对难以预见的年中突发事件等支出，可适当安排预留机动资金。</w:t>
      </w:r>
    </w:p>
    <w:p w:rsidR="00AC2D19" w:rsidRDefault="00AC2D19">
      <w:pPr>
        <w:ind w:firstLineChars="200" w:firstLine="640"/>
        <w:rPr>
          <w:rFonts w:ascii="仿宋_GB2312" w:eastAsia="仿宋_GB2312" w:hAnsiTheme="minorHAnsi" w:cstheme="minorBidi"/>
          <w:sz w:val="32"/>
          <w:szCs w:val="32"/>
        </w:rPr>
      </w:pPr>
    </w:p>
    <w:p w:rsidR="00AC2D19" w:rsidRDefault="003774A3">
      <w:pPr>
        <w:jc w:val="center"/>
        <w:rPr>
          <w:rFonts w:ascii="黑体" w:eastAsia="黑体" w:hAnsi="黑体" w:cstheme="minorBidi"/>
          <w:bCs/>
          <w:sz w:val="32"/>
          <w:szCs w:val="32"/>
        </w:rPr>
      </w:pPr>
      <w:r>
        <w:rPr>
          <w:rFonts w:ascii="黑体" w:eastAsia="黑体" w:hAnsi="黑体" w:cstheme="minorBidi" w:hint="eastAsia"/>
          <w:bCs/>
          <w:sz w:val="32"/>
          <w:szCs w:val="32"/>
        </w:rPr>
        <w:t>第三章</w:t>
      </w:r>
      <w:r>
        <w:rPr>
          <w:rFonts w:ascii="黑体" w:eastAsia="黑体" w:hAnsi="黑体" w:cstheme="minorBidi" w:hint="eastAsia"/>
          <w:bCs/>
          <w:sz w:val="32"/>
          <w:szCs w:val="32"/>
        </w:rPr>
        <w:t xml:space="preserve">  </w:t>
      </w:r>
      <w:r>
        <w:rPr>
          <w:rFonts w:ascii="黑体" w:eastAsia="黑体" w:hAnsi="黑体" w:cstheme="minorBidi" w:hint="eastAsia"/>
          <w:bCs/>
          <w:sz w:val="32"/>
          <w:szCs w:val="32"/>
        </w:rPr>
        <w:t>预算执行</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第十六条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区人民代表</w:t>
      </w:r>
      <w:r>
        <w:rPr>
          <w:rFonts w:ascii="仿宋_GB2312" w:eastAsia="仿宋_GB2312" w:hAnsiTheme="minorHAnsi" w:cstheme="minorBidi"/>
          <w:sz w:val="32"/>
          <w:szCs w:val="32"/>
        </w:rPr>
        <w:t>大会</w:t>
      </w:r>
      <w:r>
        <w:rPr>
          <w:rFonts w:ascii="仿宋_GB2312" w:eastAsia="仿宋_GB2312" w:hAnsiTheme="minorHAnsi" w:cstheme="minorBidi" w:hint="eastAsia"/>
          <w:sz w:val="32"/>
          <w:szCs w:val="32"/>
        </w:rPr>
        <w:t>批准</w:t>
      </w:r>
      <w:r>
        <w:rPr>
          <w:rFonts w:ascii="仿宋_GB2312" w:eastAsia="仿宋_GB2312" w:hAnsiTheme="minorHAnsi" w:cstheme="minorBidi" w:hint="eastAsia"/>
          <w:sz w:val="32"/>
          <w:szCs w:val="32"/>
        </w:rPr>
        <w:t>年度预算后，由区业务主管部门制定预算执行承诺书（执行</w:t>
      </w:r>
      <w:r>
        <w:rPr>
          <w:rFonts w:ascii="仿宋_GB2312" w:eastAsia="仿宋_GB2312" w:hAnsiTheme="minorHAnsi" w:cstheme="minorBidi"/>
          <w:sz w:val="32"/>
          <w:szCs w:val="32"/>
        </w:rPr>
        <w:t>计划</w:t>
      </w:r>
      <w:r>
        <w:rPr>
          <w:rFonts w:ascii="仿宋_GB2312" w:eastAsia="仿宋_GB2312" w:hAnsiTheme="minorHAnsi" w:cstheme="minorBidi" w:hint="eastAsia"/>
          <w:sz w:val="32"/>
          <w:szCs w:val="32"/>
        </w:rPr>
        <w:t>），报区财政部门备案，作为预算执行监督的依据。区业务主管部门每月对照分析预算执行，定期评估分管领域各级资金使用和项目实施情况。</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第十七条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严格按照《预算法》规定时限要求办理资金分配、下达。预算编制环节没有细化到使用方向用途的区级专项资金，各部门要在部门预算批复后及时做好分配方案，并</w:t>
      </w:r>
      <w:r>
        <w:rPr>
          <w:rFonts w:ascii="仿宋_GB2312" w:eastAsia="仿宋_GB2312" w:hAnsiTheme="minorHAnsi" w:cstheme="minorBidi"/>
          <w:sz w:val="32"/>
          <w:szCs w:val="32"/>
        </w:rPr>
        <w:t>按照</w:t>
      </w:r>
      <w:r>
        <w:rPr>
          <w:rFonts w:ascii="仿宋_GB2312" w:eastAsia="仿宋_GB2312" w:hAnsiTheme="minorHAnsi" w:cstheme="minorBidi" w:hint="eastAsia"/>
          <w:sz w:val="32"/>
          <w:szCs w:val="32"/>
        </w:rPr>
        <w:t>《新会区</w:t>
      </w:r>
      <w:r>
        <w:rPr>
          <w:rFonts w:ascii="仿宋_GB2312" w:eastAsia="仿宋_GB2312" w:hAnsiTheme="minorHAnsi" w:cstheme="minorBidi" w:hint="eastAsia"/>
          <w:sz w:val="32"/>
          <w:szCs w:val="32"/>
        </w:rPr>
        <w:lastRenderedPageBreak/>
        <w:t>财政</w:t>
      </w:r>
      <w:r>
        <w:rPr>
          <w:rFonts w:ascii="仿宋_GB2312" w:eastAsia="仿宋_GB2312" w:hAnsiTheme="minorHAnsi" w:cstheme="minorBidi"/>
          <w:sz w:val="32"/>
          <w:szCs w:val="32"/>
        </w:rPr>
        <w:t>预算</w:t>
      </w:r>
      <w:r>
        <w:rPr>
          <w:rFonts w:ascii="仿宋_GB2312" w:eastAsia="仿宋_GB2312" w:hAnsiTheme="minorHAnsi" w:cstheme="minorBidi" w:hint="eastAsia"/>
          <w:sz w:val="32"/>
          <w:szCs w:val="32"/>
        </w:rPr>
        <w:t>支出</w:t>
      </w:r>
      <w:r>
        <w:rPr>
          <w:rFonts w:ascii="仿宋_GB2312" w:eastAsia="仿宋_GB2312" w:hAnsiTheme="minorHAnsi" w:cstheme="minorBidi"/>
          <w:sz w:val="32"/>
          <w:szCs w:val="32"/>
        </w:rPr>
        <w:t>审批权限</w:t>
      </w:r>
      <w:r>
        <w:rPr>
          <w:rFonts w:ascii="仿宋_GB2312" w:eastAsia="仿宋_GB2312" w:hAnsiTheme="minorHAnsi" w:cstheme="minorBidi" w:hint="eastAsia"/>
          <w:sz w:val="32"/>
          <w:szCs w:val="32"/>
        </w:rPr>
        <w:t>规定》进行</w:t>
      </w:r>
      <w:r>
        <w:rPr>
          <w:rFonts w:ascii="仿宋_GB2312" w:eastAsia="仿宋_GB2312" w:hAnsiTheme="minorHAnsi" w:cstheme="minorBidi"/>
          <w:sz w:val="32"/>
          <w:szCs w:val="32"/>
        </w:rPr>
        <w:t>办理</w:t>
      </w:r>
      <w:r>
        <w:rPr>
          <w:rFonts w:ascii="仿宋_GB2312" w:eastAsia="仿宋_GB2312" w:hAnsiTheme="minorHAnsi" w:cstheme="minorBidi" w:hint="eastAsia"/>
          <w:sz w:val="32"/>
          <w:szCs w:val="32"/>
        </w:rPr>
        <w:t>。各业务主管部门要提前做好组织具体项目申报、评审、分配、公示等前期工作，项目审批及调整方案按照“三重一大”要求由区业务主管部门党</w:t>
      </w:r>
      <w:r>
        <w:rPr>
          <w:rFonts w:ascii="仿宋_GB2312" w:eastAsia="仿宋_GB2312" w:hAnsiTheme="minorHAnsi" w:cstheme="minorBidi" w:hint="eastAsia"/>
          <w:sz w:val="32"/>
          <w:szCs w:val="32"/>
        </w:rPr>
        <w:t>组会议或办公会议集体审议，在规定时限内下达。</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年度预算已细化到具体项目的或按因素法分配有关政策文件已明确具体分配标准和支出范围的区级专项</w:t>
      </w:r>
      <w:r>
        <w:rPr>
          <w:rFonts w:ascii="仿宋_GB2312" w:eastAsia="仿宋_GB2312" w:hAnsiTheme="minorHAnsi" w:cstheme="minorBidi"/>
          <w:sz w:val="32"/>
          <w:szCs w:val="32"/>
        </w:rPr>
        <w:t>资金</w:t>
      </w:r>
      <w:r>
        <w:rPr>
          <w:rFonts w:ascii="仿宋_GB2312" w:eastAsia="仿宋_GB2312" w:hAnsiTheme="minorHAnsi" w:cstheme="minorBidi" w:hint="eastAsia"/>
          <w:sz w:val="32"/>
          <w:szCs w:val="32"/>
        </w:rPr>
        <w:t>，由区业务主管部门提出用款申请，区财政部门办理资金下达。</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对于</w:t>
      </w:r>
      <w:r>
        <w:rPr>
          <w:rFonts w:ascii="仿宋_GB2312" w:eastAsia="仿宋_GB2312" w:hAnsiTheme="minorHAnsi" w:cstheme="minorBidi"/>
          <w:sz w:val="32"/>
          <w:szCs w:val="32"/>
        </w:rPr>
        <w:t>实行</w:t>
      </w:r>
      <w:r>
        <w:rPr>
          <w:rFonts w:ascii="仿宋_GB2312" w:eastAsia="仿宋_GB2312" w:hAnsiTheme="minorHAnsi" w:cstheme="minorBidi" w:hint="eastAsia"/>
          <w:sz w:val="32"/>
          <w:szCs w:val="32"/>
        </w:rPr>
        <w:t>“大专项</w:t>
      </w:r>
      <w:r>
        <w:rPr>
          <w:rFonts w:ascii="仿宋_GB2312" w:eastAsia="仿宋_GB2312" w:hAnsiTheme="minorHAnsi" w:cstheme="minorBidi"/>
          <w:sz w:val="32"/>
          <w:szCs w:val="32"/>
        </w:rPr>
        <w:t>+</w:t>
      </w:r>
      <w:r>
        <w:rPr>
          <w:rFonts w:ascii="仿宋_GB2312" w:eastAsia="仿宋_GB2312" w:hAnsiTheme="minorHAnsi" w:cstheme="minorBidi"/>
          <w:sz w:val="32"/>
          <w:szCs w:val="32"/>
        </w:rPr>
        <w:t>任务</w:t>
      </w:r>
      <w:r>
        <w:rPr>
          <w:rFonts w:ascii="仿宋_GB2312" w:eastAsia="仿宋_GB2312" w:hAnsiTheme="minorHAnsi" w:cstheme="minorBidi" w:hint="eastAsia"/>
          <w:sz w:val="32"/>
          <w:szCs w:val="32"/>
        </w:rPr>
        <w:t>清单”管理下放审批权限的区级专项资金，镇（街、区）和</w:t>
      </w:r>
      <w:r>
        <w:rPr>
          <w:rFonts w:ascii="仿宋_GB2312" w:eastAsia="仿宋_GB2312" w:hAnsiTheme="minorHAnsi" w:cstheme="minorBidi"/>
          <w:sz w:val="32"/>
          <w:szCs w:val="32"/>
        </w:rPr>
        <w:t>用款单位</w:t>
      </w:r>
      <w:r>
        <w:rPr>
          <w:rFonts w:eastAsia="仿宋_GB2312"/>
          <w:sz w:val="32"/>
          <w:szCs w:val="32"/>
        </w:rPr>
        <w:t>在收到资金和任务清单后</w:t>
      </w:r>
      <w:r>
        <w:rPr>
          <w:rFonts w:eastAsia="仿宋_GB2312"/>
          <w:sz w:val="32"/>
          <w:szCs w:val="32"/>
        </w:rPr>
        <w:t>30</w:t>
      </w:r>
      <w:r>
        <w:rPr>
          <w:rFonts w:eastAsia="仿宋_GB2312"/>
          <w:sz w:val="32"/>
          <w:szCs w:val="32"/>
        </w:rPr>
        <w:t>日内制定资金分配方案，及时拨付资金，并报区业务主管部门备案，资金下达后</w:t>
      </w:r>
      <w:r>
        <w:rPr>
          <w:rFonts w:eastAsia="仿宋_GB2312"/>
          <w:sz w:val="32"/>
          <w:szCs w:val="32"/>
        </w:rPr>
        <w:t>60</w:t>
      </w:r>
      <w:r>
        <w:rPr>
          <w:rFonts w:eastAsia="仿宋_GB2312"/>
          <w:sz w:val="32"/>
          <w:szCs w:val="32"/>
        </w:rPr>
        <w:t>天内由区业务</w:t>
      </w:r>
      <w:r>
        <w:rPr>
          <w:rFonts w:ascii="仿宋_GB2312" w:eastAsia="仿宋_GB2312" w:hAnsiTheme="minorHAnsi" w:cstheme="minorBidi" w:hint="eastAsia"/>
          <w:sz w:val="32"/>
          <w:szCs w:val="32"/>
        </w:rPr>
        <w:t>主管部门汇总报区财政部门备案。</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业务主管部门收到</w:t>
      </w:r>
      <w:r>
        <w:rPr>
          <w:rFonts w:ascii="仿宋_GB2312" w:eastAsia="仿宋_GB2312" w:hAnsiTheme="minorHAnsi" w:cstheme="minorBidi"/>
          <w:sz w:val="32"/>
          <w:szCs w:val="32"/>
        </w:rPr>
        <w:t>上级下放</w:t>
      </w:r>
      <w:r>
        <w:rPr>
          <w:rFonts w:ascii="仿宋_GB2312" w:eastAsia="仿宋_GB2312" w:hAnsiTheme="minorHAnsi" w:cstheme="minorBidi" w:hint="eastAsia"/>
          <w:sz w:val="32"/>
          <w:szCs w:val="32"/>
        </w:rPr>
        <w:t>审批</w:t>
      </w:r>
      <w:r>
        <w:rPr>
          <w:rFonts w:ascii="仿宋_GB2312" w:eastAsia="仿宋_GB2312" w:hAnsiTheme="minorHAnsi" w:cstheme="minorBidi"/>
          <w:sz w:val="32"/>
          <w:szCs w:val="32"/>
        </w:rPr>
        <w:t>权限</w:t>
      </w:r>
      <w:r>
        <w:rPr>
          <w:rFonts w:ascii="仿宋_GB2312" w:eastAsia="仿宋_GB2312" w:hAnsiTheme="minorHAnsi" w:cstheme="minorBidi" w:hint="eastAsia"/>
          <w:sz w:val="32"/>
          <w:szCs w:val="32"/>
        </w:rPr>
        <w:t>的上级专项</w:t>
      </w:r>
      <w:r>
        <w:rPr>
          <w:rFonts w:ascii="仿宋_GB2312" w:eastAsia="仿宋_GB2312" w:hAnsiTheme="minorHAnsi" w:cstheme="minorBidi"/>
          <w:sz w:val="32"/>
          <w:szCs w:val="32"/>
        </w:rPr>
        <w:t>资金，需要在收到上级</w:t>
      </w:r>
      <w:r>
        <w:rPr>
          <w:rFonts w:ascii="仿宋_GB2312" w:eastAsia="仿宋_GB2312" w:hAnsiTheme="minorHAnsi" w:cstheme="minorBidi" w:hint="eastAsia"/>
          <w:sz w:val="32"/>
          <w:szCs w:val="32"/>
        </w:rPr>
        <w:t>专项</w:t>
      </w:r>
      <w:r>
        <w:rPr>
          <w:rFonts w:ascii="仿宋_GB2312" w:eastAsia="仿宋_GB2312" w:hAnsiTheme="minorHAnsi" w:cstheme="minorBidi"/>
          <w:sz w:val="32"/>
          <w:szCs w:val="32"/>
        </w:rPr>
        <w:t>资金和任务</w:t>
      </w:r>
      <w:r>
        <w:rPr>
          <w:rFonts w:ascii="仿宋_GB2312" w:eastAsia="仿宋_GB2312" w:hAnsiTheme="minorHAnsi" w:cstheme="minorBidi" w:hint="eastAsia"/>
          <w:sz w:val="32"/>
          <w:szCs w:val="32"/>
        </w:rPr>
        <w:t>清</w:t>
      </w:r>
      <w:r>
        <w:rPr>
          <w:rFonts w:eastAsia="仿宋_GB2312"/>
          <w:sz w:val="32"/>
          <w:szCs w:val="32"/>
        </w:rPr>
        <w:t>单后</w:t>
      </w:r>
      <w:r>
        <w:rPr>
          <w:rFonts w:eastAsia="仿宋_GB2312"/>
          <w:sz w:val="32"/>
          <w:szCs w:val="32"/>
        </w:rPr>
        <w:t>30</w:t>
      </w:r>
      <w:r>
        <w:rPr>
          <w:rFonts w:eastAsia="仿宋_GB2312"/>
          <w:sz w:val="32"/>
          <w:szCs w:val="32"/>
        </w:rPr>
        <w:t>日</w:t>
      </w:r>
      <w:r>
        <w:rPr>
          <w:rFonts w:eastAsia="仿宋_GB2312"/>
          <w:sz w:val="32"/>
          <w:szCs w:val="32"/>
        </w:rPr>
        <w:t>内制定资金分</w:t>
      </w:r>
      <w:r>
        <w:rPr>
          <w:rFonts w:ascii="仿宋_GB2312" w:eastAsia="仿宋_GB2312" w:hAnsiTheme="minorHAnsi" w:cstheme="minorBidi" w:hint="eastAsia"/>
          <w:sz w:val="32"/>
          <w:szCs w:val="32"/>
        </w:rPr>
        <w:t>配方案，及时拨付资金，并报区财政</w:t>
      </w:r>
      <w:r>
        <w:rPr>
          <w:rFonts w:ascii="仿宋_GB2312" w:eastAsia="仿宋_GB2312" w:hAnsiTheme="minorHAnsi" w:cstheme="minorBidi"/>
          <w:sz w:val="32"/>
          <w:szCs w:val="32"/>
        </w:rPr>
        <w:t>和上级主管部门备案。</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第十八条</w:t>
      </w:r>
      <w:r>
        <w:rPr>
          <w:rFonts w:ascii="仿宋_GB2312" w:eastAsia="仿宋_GB2312" w:hAnsiTheme="minorHAnsi" w:cstheme="minorBidi" w:hint="eastAsia"/>
          <w:b/>
          <w:sz w:val="32"/>
          <w:szCs w:val="32"/>
        </w:rPr>
        <w:t xml:space="preserve"> </w:t>
      </w:r>
      <w:r>
        <w:rPr>
          <w:rFonts w:ascii="仿宋_GB2312" w:eastAsia="仿宋_GB2312" w:hAnsiTheme="minorHAnsi" w:cstheme="minorBidi" w:hint="eastAsia"/>
          <w:sz w:val="32"/>
          <w:szCs w:val="32"/>
        </w:rPr>
        <w:t>区级专项资金一级项目分配到二级项目分配使用应当遵循以下原则要求</w:t>
      </w:r>
      <w:r>
        <w:rPr>
          <w:rFonts w:ascii="仿宋_GB2312" w:eastAsia="仿宋_GB2312" w:hAnsiTheme="minorHAnsi" w:cstheme="minorBidi" w:hint="eastAsia"/>
          <w:sz w:val="32"/>
          <w:szCs w:val="32"/>
        </w:rPr>
        <w:t>:</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（一）优先保障中央、省、市相关政策或考核任务目标资金需求，不得留下资金缺口；</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（二）优先解决已立项（开工）项目的资金缺口，不得留下“半拉子”项目；</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lastRenderedPageBreak/>
        <w:t>（三）优先保障基本民生项目需求，不得擅自提标扩围</w:t>
      </w:r>
      <w:r w:rsidR="00B8774B">
        <w:rPr>
          <w:rFonts w:ascii="仿宋_GB2312" w:eastAsia="仿宋_GB2312" w:hAnsiTheme="minorHAnsi" w:cstheme="minorBidi" w:hint="eastAsia"/>
          <w:sz w:val="32"/>
          <w:szCs w:val="32"/>
        </w:rPr>
        <w:t>；</w:t>
      </w:r>
      <w:bookmarkStart w:id="0" w:name="_GoBack"/>
      <w:bookmarkEnd w:id="0"/>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（四）积极推行“大专项</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任务清单”管理模式，根据工作任务分配资金，并同步制定具体任务清单；</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五）优先采用因素法分配资金，其中属于民生领域的支出，应当主要采用人口、面积、里程、规模等客观因素法进行分配；财力性的补助资金应当制定分类分档补助标准进行分配；推动工作的引导性资金，根据工作开展的客观条件、难易程度、以往工作业绩和绩效等情况，可以分类设定保障性、激励性、工作性等因子和权重，采取综合因素法分配。各部门要定期评估分配因素的合理性，根据实际情况调整优化分配因子和权重，提高资金分配的科学性。</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（六）采取项目法分配的资金应当通过公开征集、专家评审、集体决策、公开公示等程序分配。面向竞争性领域的资金，要</w:t>
      </w:r>
      <w:r>
        <w:rPr>
          <w:rFonts w:ascii="仿宋_GB2312" w:eastAsia="仿宋_GB2312" w:hAnsiTheme="minorHAnsi" w:cstheme="minorBidi" w:hint="eastAsia"/>
          <w:sz w:val="32"/>
          <w:szCs w:val="32"/>
        </w:rPr>
        <w:t>优先采取竞争性分配方式。</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（七）各区级专项资金的具体管理办法应说明资金分配的主要原则、具体程序和分配办法。</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第十九条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级专项资金严格按照经批准的预算执行，强化预算约束，年度预算执行过程中除自然灾害等突发事件外，原则上不追加支出。年中出台的新增财政支出的政策措施，原则上列入以后年度预算安排；严格执行区人大批准的预算，未经法定程序不得调整；确需调整的，按法定程序报批。年中出台的新增财</w:t>
      </w:r>
      <w:r>
        <w:rPr>
          <w:rFonts w:ascii="仿宋_GB2312" w:eastAsia="仿宋_GB2312" w:hAnsiTheme="minorHAnsi" w:cstheme="minorBidi" w:hint="eastAsia"/>
          <w:sz w:val="32"/>
          <w:szCs w:val="32"/>
        </w:rPr>
        <w:lastRenderedPageBreak/>
        <w:t>政支出的政策措施，原则上列入以后年度预算安排；严格控制预算调剂，确需调剂资金的，按《新会区财政</w:t>
      </w:r>
      <w:r>
        <w:rPr>
          <w:rFonts w:ascii="仿宋_GB2312" w:eastAsia="仿宋_GB2312" w:hAnsiTheme="minorHAnsi" w:cstheme="minorBidi"/>
          <w:sz w:val="32"/>
          <w:szCs w:val="32"/>
        </w:rPr>
        <w:t>预算</w:t>
      </w:r>
      <w:r>
        <w:rPr>
          <w:rFonts w:ascii="仿宋_GB2312" w:eastAsia="仿宋_GB2312" w:hAnsiTheme="minorHAnsi" w:cstheme="minorBidi" w:hint="eastAsia"/>
          <w:sz w:val="32"/>
          <w:szCs w:val="32"/>
        </w:rPr>
        <w:t>支出</w:t>
      </w:r>
      <w:r>
        <w:rPr>
          <w:rFonts w:ascii="仿宋_GB2312" w:eastAsia="仿宋_GB2312" w:hAnsiTheme="minorHAnsi" w:cstheme="minorBidi"/>
          <w:sz w:val="32"/>
          <w:szCs w:val="32"/>
        </w:rPr>
        <w:t>审批权限</w:t>
      </w:r>
      <w:r>
        <w:rPr>
          <w:rFonts w:ascii="仿宋_GB2312" w:eastAsia="仿宋_GB2312" w:hAnsiTheme="minorHAnsi" w:cstheme="minorBidi" w:hint="eastAsia"/>
          <w:sz w:val="32"/>
          <w:szCs w:val="32"/>
        </w:rPr>
        <w:t>规定》进行办理。</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第二十条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采用“大专项</w:t>
      </w:r>
      <w:r>
        <w:rPr>
          <w:rFonts w:ascii="仿宋_GB2312" w:eastAsia="仿宋_GB2312" w:hAnsiTheme="minorHAnsi" w:cstheme="minorBidi"/>
          <w:sz w:val="32"/>
          <w:szCs w:val="32"/>
        </w:rPr>
        <w:t>+</w:t>
      </w:r>
      <w:r>
        <w:rPr>
          <w:rFonts w:ascii="仿宋_GB2312" w:eastAsia="仿宋_GB2312" w:hAnsiTheme="minorHAnsi" w:cstheme="minorBidi"/>
          <w:sz w:val="32"/>
          <w:szCs w:val="32"/>
        </w:rPr>
        <w:t>任务清单</w:t>
      </w:r>
      <w:r>
        <w:rPr>
          <w:rFonts w:ascii="仿宋_GB2312" w:eastAsia="仿宋_GB2312" w:hAnsiTheme="minorHAnsi" w:cstheme="minorBidi" w:hint="eastAsia"/>
          <w:sz w:val="32"/>
          <w:szCs w:val="32"/>
        </w:rPr>
        <w:t>”管理下放审批权限的区级专项资金，区业务主管部门应在资金下达（含提前下达）时同步下达任务清单（样表见附</w:t>
      </w:r>
      <w:r>
        <w:rPr>
          <w:rFonts w:eastAsia="仿宋_GB2312"/>
          <w:sz w:val="32"/>
          <w:szCs w:val="32"/>
        </w:rPr>
        <w:t>件</w:t>
      </w:r>
      <w:r>
        <w:rPr>
          <w:rFonts w:eastAsia="仿宋_GB2312"/>
          <w:sz w:val="32"/>
          <w:szCs w:val="32"/>
        </w:rPr>
        <w:t>6</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。每个区级专项资金“一级项目”需单独制定任务清单，包括约束性任务和指导性任务。区业务主管部门原则上不得在下达任务清单、接受备案等过程中制定具体项目及金额。</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允许镇（街、区）和用款单位在完成约束性任务的前提下，在一级项目范围内，将未支出资金在同一类级科目下统筹使用（对</w:t>
      </w:r>
      <w:r>
        <w:rPr>
          <w:rFonts w:ascii="仿宋_GB2312" w:eastAsia="仿宋_GB2312" w:hAnsiTheme="minorHAnsi" w:cstheme="minorBidi"/>
          <w:sz w:val="32"/>
          <w:szCs w:val="32"/>
        </w:rPr>
        <w:t>部分明确规定专项专用，结余结转滚存使用的资金</w:t>
      </w:r>
      <w:r>
        <w:rPr>
          <w:rFonts w:ascii="仿宋_GB2312" w:eastAsia="仿宋_GB2312" w:hAnsiTheme="minorHAnsi" w:cstheme="minorBidi" w:hint="eastAsia"/>
          <w:sz w:val="32"/>
          <w:szCs w:val="32"/>
        </w:rPr>
        <w:t>除外），</w:t>
      </w:r>
      <w:r>
        <w:rPr>
          <w:rFonts w:eastAsia="仿宋_GB2312"/>
          <w:sz w:val="32"/>
          <w:szCs w:val="32"/>
        </w:rPr>
        <w:t>并在</w:t>
      </w:r>
      <w:r>
        <w:rPr>
          <w:rFonts w:eastAsia="仿宋_GB2312"/>
          <w:sz w:val="32"/>
          <w:szCs w:val="32"/>
        </w:rPr>
        <w:t>15</w:t>
      </w:r>
      <w:r>
        <w:rPr>
          <w:rFonts w:eastAsia="仿宋_GB2312"/>
          <w:sz w:val="32"/>
          <w:szCs w:val="32"/>
        </w:rPr>
        <w:t>日内</w:t>
      </w:r>
      <w:r>
        <w:rPr>
          <w:rFonts w:ascii="仿宋_GB2312" w:eastAsia="仿宋_GB2312" w:hAnsiTheme="minorHAnsi" w:cstheme="minorBidi" w:hint="eastAsia"/>
          <w:sz w:val="32"/>
          <w:szCs w:val="32"/>
        </w:rPr>
        <w:t>将统筹情况报区业务主管部门备案，由区业务主</w:t>
      </w:r>
      <w:r>
        <w:rPr>
          <w:rFonts w:ascii="仿宋_GB2312" w:eastAsia="仿宋_GB2312" w:hAnsiTheme="minorHAnsi" w:cstheme="minorBidi" w:hint="eastAsia"/>
          <w:sz w:val="32"/>
          <w:szCs w:val="32"/>
        </w:rPr>
        <w:t>管部门汇总报区财政部门备案。</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第二十一条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级专项资金下达后，项目实施单位应加快组织实施，按照规定的开支范围加快支出进度。当年未使用完毕的资金，符合条件的按照财政结余结转办法办理。区级专项资金除特殊情况外，连续结转两年且年度预算执行率均</w:t>
      </w:r>
      <w:r>
        <w:rPr>
          <w:rFonts w:eastAsia="仿宋_GB2312"/>
          <w:sz w:val="32"/>
          <w:szCs w:val="32"/>
        </w:rPr>
        <w:t>低于</w:t>
      </w:r>
      <w:r>
        <w:rPr>
          <w:rFonts w:eastAsia="仿宋_GB2312"/>
          <w:sz w:val="32"/>
          <w:szCs w:val="32"/>
        </w:rPr>
        <w:t>50%</w:t>
      </w:r>
      <w:r>
        <w:rPr>
          <w:rFonts w:eastAsia="仿宋_GB2312"/>
          <w:sz w:val="32"/>
          <w:szCs w:val="32"/>
        </w:rPr>
        <w:t>，</w:t>
      </w:r>
      <w:r>
        <w:rPr>
          <w:rFonts w:ascii="仿宋_GB2312" w:eastAsia="仿宋_GB2312" w:hAnsiTheme="minorHAnsi" w:cstheme="minorBidi" w:hint="eastAsia"/>
          <w:sz w:val="32"/>
          <w:szCs w:val="32"/>
        </w:rPr>
        <w:t>或绩效评价结果不合格，或区纪委监委、财政、审计等部门发现区级专项资金在管理、使用上存在违法违纪违规问题，情节严重或整改无效的，应予调整或撤销。项目实施完毕后，区业务主管部门</w:t>
      </w:r>
      <w:r>
        <w:rPr>
          <w:rFonts w:ascii="仿宋_GB2312" w:eastAsia="仿宋_GB2312" w:hAnsiTheme="minorHAnsi" w:cstheme="minorBidi" w:hint="eastAsia"/>
          <w:sz w:val="32"/>
          <w:szCs w:val="32"/>
        </w:rPr>
        <w:lastRenderedPageBreak/>
        <w:t>和用款单位要按照“谁审批具体项目，谁验收考评”的原则，自主或委托第三方专业机构组织项目验收或</w:t>
      </w:r>
      <w:r>
        <w:rPr>
          <w:rFonts w:ascii="仿宋_GB2312" w:eastAsia="仿宋_GB2312" w:hAnsiTheme="minorHAnsi" w:cstheme="minorBidi" w:hint="eastAsia"/>
          <w:sz w:val="32"/>
          <w:szCs w:val="32"/>
        </w:rPr>
        <w:t>考评，并及时将验收或考评结果报同级财政部门备案。</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第二十二条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对区业务主管部门无正当理由未按本办法第十七条规定报送资金分配方案的，区财政部门要及时作出提醒并报告相关分管区领导。经督促后仍未及时作出分配方案导致未能按《预算法》规定时限下达资金的，由区财政部门报区政府批准后将资金收回，并对次年预算金额进行适当压减或撒销安排预算，收回的资金统筹调整用于其他重点和民生项目支出。</w:t>
      </w:r>
    </w:p>
    <w:p w:rsidR="00AC2D19" w:rsidRDefault="003774A3">
      <w:pPr>
        <w:ind w:firstLineChars="200" w:firstLine="640"/>
        <w:rPr>
          <w:rFonts w:ascii="仿宋_GB2312" w:eastAsia="仿宋_GB2312" w:hAnsiTheme="minorHAnsi" w:cstheme="minorBidi"/>
          <w:sz w:val="32"/>
          <w:szCs w:val="32"/>
          <w:u w:val="single"/>
        </w:rPr>
      </w:pPr>
      <w:r>
        <w:rPr>
          <w:rFonts w:ascii="仿宋_GB2312" w:eastAsia="仿宋_GB2312" w:hAnsiTheme="minorHAnsi" w:cstheme="minorBidi" w:hint="eastAsia"/>
          <w:sz w:val="32"/>
          <w:szCs w:val="32"/>
        </w:rPr>
        <w:t>区业务主管部门在每</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30</w:t>
      </w:r>
      <w:r>
        <w:rPr>
          <w:rFonts w:eastAsia="仿宋_GB2312"/>
          <w:sz w:val="32"/>
          <w:szCs w:val="32"/>
        </w:rPr>
        <w:t>日前</w:t>
      </w:r>
      <w:r>
        <w:rPr>
          <w:rFonts w:ascii="仿宋_GB2312" w:eastAsia="仿宋_GB2312" w:hAnsiTheme="minorHAnsi" w:cstheme="minorBidi" w:hint="eastAsia"/>
          <w:sz w:val="32"/>
          <w:szCs w:val="32"/>
        </w:rPr>
        <w:t>部门代编预算未分配的项目，由区财政部门报区政府批准后收回，各镇（街、区）和用款单位未按要求及时审批项目或因</w:t>
      </w:r>
      <w:r>
        <w:rPr>
          <w:rFonts w:ascii="仿宋_GB2312" w:eastAsia="仿宋_GB2312" w:hAnsiTheme="minorHAnsi" w:cstheme="minorBidi" w:hint="eastAsia"/>
          <w:sz w:val="32"/>
          <w:szCs w:val="32"/>
        </w:rPr>
        <w:t>不具备实施条件无法在年底前实际支出的，收回区财政统筹。各镇（街、区）违规提高支出门槛造成资金沉淀、自行统筹资金的，收回区财政统筹。</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第二十三条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区业务主管部门、用款单位、各镇（街、区）对项目验收考评、监督检查、内部审计、绩效管理等工作经费，可从本年度区级专项资金中安排</w:t>
      </w:r>
      <w:r>
        <w:rPr>
          <w:rFonts w:ascii="仿宋_GB2312" w:eastAsia="仿宋_GB2312" w:hAnsiTheme="minorHAnsi" w:cstheme="minorBidi"/>
          <w:sz w:val="32"/>
          <w:szCs w:val="32"/>
        </w:rPr>
        <w:t>的工作经费</w:t>
      </w:r>
      <w:r>
        <w:rPr>
          <w:rFonts w:ascii="仿宋_GB2312" w:eastAsia="仿宋_GB2312" w:hAnsiTheme="minorHAnsi" w:cstheme="minorBidi" w:hint="eastAsia"/>
          <w:sz w:val="32"/>
          <w:szCs w:val="32"/>
        </w:rPr>
        <w:t>列支或按照政府购买服务方式开支。</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区级专项资金安排工作经费使用要严格执行中央八项规定和厉行节约的相关要求，除中央、省和市有文件规定外，不得将工作经费用于行政事业单位编制内人员工资、津贴补贴、奖金和</w:t>
      </w:r>
      <w:r>
        <w:rPr>
          <w:rFonts w:ascii="仿宋_GB2312" w:eastAsia="仿宋_GB2312" w:hAnsiTheme="minorHAnsi" w:cstheme="minorBidi" w:hint="eastAsia"/>
          <w:sz w:val="32"/>
          <w:szCs w:val="32"/>
        </w:rPr>
        <w:lastRenderedPageBreak/>
        <w:t>其他福利支出，楼堂馆所建设、修缮和其他</w:t>
      </w:r>
      <w:r>
        <w:rPr>
          <w:rFonts w:ascii="仿宋_GB2312" w:eastAsia="仿宋_GB2312" w:hAnsiTheme="minorHAnsi" w:cstheme="minorBidi" w:hint="eastAsia"/>
          <w:sz w:val="32"/>
          <w:szCs w:val="32"/>
        </w:rPr>
        <w:t>无关支出。</w:t>
      </w:r>
    </w:p>
    <w:p w:rsidR="00AC2D19" w:rsidRDefault="00AC2D19">
      <w:pPr>
        <w:ind w:firstLineChars="200" w:firstLine="640"/>
        <w:rPr>
          <w:rFonts w:ascii="仿宋_GB2312" w:eastAsia="仿宋_GB2312" w:hAnsiTheme="minorHAnsi" w:cstheme="minorBidi"/>
          <w:sz w:val="32"/>
          <w:szCs w:val="32"/>
        </w:rPr>
      </w:pPr>
    </w:p>
    <w:p w:rsidR="00AC2D19" w:rsidRDefault="003774A3">
      <w:pPr>
        <w:jc w:val="center"/>
        <w:rPr>
          <w:rFonts w:ascii="黑体" w:eastAsia="黑体" w:hAnsi="黑体" w:cstheme="minorBidi"/>
          <w:bCs/>
          <w:sz w:val="32"/>
          <w:szCs w:val="32"/>
        </w:rPr>
      </w:pPr>
      <w:r>
        <w:rPr>
          <w:rFonts w:ascii="黑体" w:eastAsia="黑体" w:hAnsi="黑体" w:cstheme="minorBidi" w:hint="eastAsia"/>
          <w:bCs/>
          <w:sz w:val="32"/>
          <w:szCs w:val="32"/>
        </w:rPr>
        <w:t>第四章</w:t>
      </w:r>
      <w:r>
        <w:rPr>
          <w:rFonts w:ascii="黑体" w:eastAsia="黑体" w:hAnsi="黑体" w:cstheme="minorBidi" w:hint="eastAsia"/>
          <w:bCs/>
          <w:sz w:val="32"/>
          <w:szCs w:val="32"/>
        </w:rPr>
        <w:t xml:space="preserve">  </w:t>
      </w:r>
      <w:r>
        <w:rPr>
          <w:rFonts w:ascii="黑体" w:eastAsia="黑体" w:hAnsi="黑体" w:cstheme="minorBidi" w:hint="eastAsia"/>
          <w:bCs/>
          <w:sz w:val="32"/>
          <w:szCs w:val="32"/>
        </w:rPr>
        <w:t>预算监督</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第二十四条</w:t>
      </w:r>
      <w:r>
        <w:rPr>
          <w:rFonts w:ascii="仿宋_GB2312" w:eastAsia="仿宋_GB2312" w:hAnsiTheme="minorHAnsi" w:cstheme="minorBidi" w:hint="eastAsia"/>
          <w:b/>
          <w:sz w:val="32"/>
          <w:szCs w:val="32"/>
        </w:rPr>
        <w:t xml:space="preserve"> </w:t>
      </w:r>
      <w:r>
        <w:rPr>
          <w:rFonts w:ascii="仿宋_GB2312" w:eastAsia="仿宋_GB2312" w:hAnsiTheme="minorHAnsi" w:cstheme="minorBidi" w:hint="eastAsia"/>
          <w:sz w:val="32"/>
          <w:szCs w:val="32"/>
        </w:rPr>
        <w:t>预算执行阶段，区业务主管部门要按照事前支持项目和事后支持项目的不同类型加强区级专项资金绩效目标监控，对监控中发现与既定绩效目标发生偏离的，及时责成项目单位采取措施予以纠正；情况严重的，调整、暂缓或者停止执行。区财政部门对绩效目标落实和预算执行进度实行“双监控”并定期通报。</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第二十五条</w:t>
      </w:r>
      <w:r>
        <w:rPr>
          <w:rFonts w:ascii="仿宋_GB2312" w:eastAsia="仿宋_GB2312" w:hAnsiTheme="minorHAnsi" w:cstheme="minorBidi" w:hint="eastAsia"/>
          <w:b/>
          <w:sz w:val="32"/>
          <w:szCs w:val="32"/>
        </w:rPr>
        <w:t xml:space="preserve"> </w:t>
      </w:r>
      <w:r>
        <w:rPr>
          <w:rFonts w:ascii="仿宋_GB2312" w:eastAsia="仿宋_GB2312" w:hAnsiTheme="minorHAnsi" w:cstheme="minorBidi" w:hint="eastAsia"/>
          <w:sz w:val="32"/>
          <w:szCs w:val="32"/>
        </w:rPr>
        <w:t>预算年度终了及预算执行完毕，由镇（街、区）和用款单位开展区级专项资金使用情况自评。区业务主管部门对部分项目或各镇（街、区）开展绩效评价，形成自评报告报区财政部门备案。区财政部门结合区业务主管部门绩效自评情况和当年工作重点，对部分区级专项资金开展</w:t>
      </w:r>
      <w:r>
        <w:rPr>
          <w:rFonts w:ascii="仿宋_GB2312" w:eastAsia="仿宋_GB2312" w:hAnsiTheme="minorHAnsi" w:cstheme="minorBidi"/>
          <w:sz w:val="32"/>
          <w:szCs w:val="32"/>
        </w:rPr>
        <w:t>绩效自评复审和</w:t>
      </w:r>
      <w:r>
        <w:rPr>
          <w:rFonts w:ascii="仿宋_GB2312" w:eastAsia="仿宋_GB2312" w:hAnsiTheme="minorHAnsi" w:cstheme="minorBidi" w:hint="eastAsia"/>
          <w:sz w:val="32"/>
          <w:szCs w:val="32"/>
        </w:rPr>
        <w:t>重点绩效评价。强化绩效结果运用，将区级专项资金绩效评价结果报区政府；重点绩效评价结果作为下年度预算安排的重要参考依据，评价结果为优、良等次的项目，原则上优先保障，在下年度预算安排予以倾斜，评价结果为“低”“差”的项目，督促项目主管部门整改，并由区财政部门</w:t>
      </w:r>
      <w:r>
        <w:rPr>
          <w:rFonts w:ascii="仿宋_GB2312" w:eastAsia="仿宋_GB2312" w:hAnsiTheme="minorHAnsi" w:cstheme="minorBidi" w:hint="eastAsia"/>
          <w:sz w:val="32"/>
          <w:szCs w:val="32"/>
        </w:rPr>
        <w:t>视情况终止拨款或收回资金、减少以后资金安排，直至撤销项目。</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第二十六条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区业务主管部门要加强对区级专项资金管理关</w:t>
      </w:r>
      <w:r>
        <w:rPr>
          <w:rFonts w:ascii="仿宋_GB2312" w:eastAsia="仿宋_GB2312" w:hAnsiTheme="minorHAnsi" w:cstheme="minorBidi" w:hint="eastAsia"/>
          <w:sz w:val="32"/>
          <w:szCs w:val="32"/>
        </w:rPr>
        <w:lastRenderedPageBreak/>
        <w:t>键岗位和重点环节的廉政风险排查和防控，对区级专项资金预算执行、资金使用效益和财务管理进行跟踪监控。区财政、审计部门要按照《预算法》及相关规定进行监督检查。</w:t>
      </w:r>
    </w:p>
    <w:p w:rsidR="00AC2D19" w:rsidRDefault="00AC2D19">
      <w:pPr>
        <w:ind w:firstLineChars="200" w:firstLine="640"/>
        <w:rPr>
          <w:rFonts w:ascii="仿宋_GB2312" w:eastAsia="仿宋_GB2312" w:hAnsiTheme="minorHAnsi" w:cstheme="minorBidi"/>
          <w:sz w:val="32"/>
          <w:szCs w:val="32"/>
        </w:rPr>
      </w:pPr>
    </w:p>
    <w:p w:rsidR="00AC2D19" w:rsidRDefault="003774A3">
      <w:pPr>
        <w:jc w:val="center"/>
        <w:rPr>
          <w:rFonts w:ascii="黑体" w:eastAsia="黑体" w:hAnsi="黑体" w:cstheme="minorBidi"/>
          <w:bCs/>
          <w:sz w:val="32"/>
          <w:szCs w:val="32"/>
        </w:rPr>
      </w:pPr>
      <w:r>
        <w:rPr>
          <w:rFonts w:ascii="黑体" w:eastAsia="黑体" w:hAnsi="黑体" w:cstheme="minorBidi" w:hint="eastAsia"/>
          <w:bCs/>
          <w:sz w:val="32"/>
          <w:szCs w:val="32"/>
        </w:rPr>
        <w:t>第五章</w:t>
      </w:r>
      <w:r>
        <w:rPr>
          <w:rFonts w:ascii="黑体" w:eastAsia="黑体" w:hAnsi="黑体" w:cstheme="minorBidi" w:hint="eastAsia"/>
          <w:bCs/>
          <w:sz w:val="32"/>
          <w:szCs w:val="32"/>
        </w:rPr>
        <w:t xml:space="preserve">  </w:t>
      </w:r>
      <w:r>
        <w:rPr>
          <w:rFonts w:ascii="黑体" w:eastAsia="黑体" w:hAnsi="黑体" w:cstheme="minorBidi" w:hint="eastAsia"/>
          <w:bCs/>
          <w:sz w:val="32"/>
          <w:szCs w:val="32"/>
        </w:rPr>
        <w:t>信息公开</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第二十七条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区业务主管部门是本部门分管区级专项资金信息公开公示的责任主体。项目实施单位要及时以适当方式公开财政资金使用情况。下放项目审批权限的区级专项资金，由镇（街、区）业务主管</w:t>
      </w:r>
      <w:r>
        <w:rPr>
          <w:rFonts w:ascii="仿宋_GB2312" w:eastAsia="仿宋_GB2312" w:hAnsiTheme="minorHAnsi" w:cstheme="minorBidi"/>
          <w:sz w:val="32"/>
          <w:szCs w:val="32"/>
        </w:rPr>
        <w:t>单位</w:t>
      </w:r>
      <w:r>
        <w:rPr>
          <w:rFonts w:ascii="仿宋_GB2312" w:eastAsia="仿宋_GB2312" w:hAnsiTheme="minorHAnsi" w:cstheme="minorBidi" w:hint="eastAsia"/>
          <w:sz w:val="32"/>
          <w:szCs w:val="32"/>
        </w:rPr>
        <w:t>、用款单位参照区级做法，对管理过程产生的</w:t>
      </w:r>
      <w:r>
        <w:rPr>
          <w:rFonts w:ascii="仿宋_GB2312" w:eastAsia="仿宋_GB2312" w:hAnsiTheme="minorHAnsi" w:cstheme="minorBidi" w:hint="eastAsia"/>
          <w:sz w:val="32"/>
          <w:szCs w:val="32"/>
        </w:rPr>
        <w:t>相关信息进行公开公示。</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第二十八条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除涉及保密要求或重大敏感事项不予公开的区级专项资金信息外，区级专项资金的分配、执行和结果等全过程信息按照“谁制定、谁分配、谁使用、谁公开”的原则向社会公开。主要内容包括：</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（一）区级专项资金目录清单。</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（二）各项区级专项资金的具体管理办法。</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（三）区级专项资金申报通知（申报指南），包括申报条件、扶持范围、扶持对象、审批部门、咨询电话等。</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（四）项目计划情况，包括申报单位、申请金额、安排金额、绩效目标、项目立项储备等。</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（五）资金分配方式、程序和结果，包括资金分配明细项目、</w:t>
      </w:r>
      <w:r>
        <w:rPr>
          <w:rFonts w:ascii="仿宋_GB2312" w:eastAsia="仿宋_GB2312" w:hAnsiTheme="minorHAnsi" w:cstheme="minorBidi" w:hint="eastAsia"/>
          <w:sz w:val="32"/>
          <w:szCs w:val="32"/>
        </w:rPr>
        <w:lastRenderedPageBreak/>
        <w:t>金额和分配对象等；完成约束性任务后剩余资金统筹使用情况。</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（六）区级专项资金使用情况。</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（七）区级专项资金绩效评价、监督检查和审计结果，包括项目财务决算报告、项目验收考评情况、绩效自评报告和财政部门反馈的重点评价报告、财政财务监督检查报告、审计结果等。</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（八）公开接受和处理投诉情况，包括投诉事项和投诉处理情况以及其他按规定应公开的内容。</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第二十九条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区业务主管部门应在相关信息审批生效后</w:t>
      </w:r>
      <w:r>
        <w:rPr>
          <w:rFonts w:ascii="仿宋_GB2312" w:eastAsia="仿宋_GB2312" w:hAnsiTheme="minorHAnsi" w:cstheme="minorBidi" w:hint="eastAsia"/>
          <w:sz w:val="32"/>
          <w:szCs w:val="32"/>
        </w:rPr>
        <w:t>20</w:t>
      </w:r>
      <w:r>
        <w:rPr>
          <w:rFonts w:ascii="仿宋_GB2312" w:eastAsia="仿宋_GB2312" w:hAnsiTheme="minorHAnsi" w:cstheme="minorBidi" w:hint="eastAsia"/>
          <w:sz w:val="32"/>
          <w:szCs w:val="32"/>
        </w:rPr>
        <w:t>日内通过本部门门户网站、相关信息系统等载体向社会进行公开。镇（街、区）业务</w:t>
      </w:r>
      <w:r>
        <w:rPr>
          <w:rFonts w:ascii="仿宋_GB2312" w:eastAsia="仿宋_GB2312" w:hAnsiTheme="minorHAnsi" w:cstheme="minorBidi"/>
          <w:sz w:val="32"/>
          <w:szCs w:val="32"/>
        </w:rPr>
        <w:t>主管部门</w:t>
      </w:r>
      <w:r>
        <w:rPr>
          <w:rFonts w:ascii="仿宋_GB2312" w:eastAsia="仿宋_GB2312" w:hAnsiTheme="minorHAnsi" w:cstheme="minorBidi" w:hint="eastAsia"/>
          <w:sz w:val="32"/>
          <w:szCs w:val="32"/>
        </w:rPr>
        <w:t>、用款单位也要通过本部门或本级政府、上</w:t>
      </w:r>
      <w:r>
        <w:rPr>
          <w:rFonts w:ascii="仿宋_GB2312" w:eastAsia="仿宋_GB2312" w:hAnsiTheme="minorHAnsi" w:cstheme="minorBidi" w:hint="eastAsia"/>
          <w:sz w:val="32"/>
          <w:szCs w:val="32"/>
        </w:rPr>
        <w:t>级主管部门门户网站及其他信息载体进行公开。</w:t>
      </w:r>
    </w:p>
    <w:p w:rsidR="00AC2D19" w:rsidRDefault="00AC2D19">
      <w:pPr>
        <w:ind w:firstLineChars="200" w:firstLine="640"/>
        <w:rPr>
          <w:rFonts w:ascii="仿宋_GB2312" w:eastAsia="仿宋_GB2312" w:hAnsiTheme="minorHAnsi" w:cstheme="minorBidi"/>
          <w:sz w:val="32"/>
          <w:szCs w:val="32"/>
        </w:rPr>
      </w:pPr>
    </w:p>
    <w:p w:rsidR="00AC2D19" w:rsidRDefault="003774A3">
      <w:pPr>
        <w:jc w:val="center"/>
        <w:rPr>
          <w:rFonts w:ascii="黑体" w:eastAsia="黑体" w:hAnsi="黑体" w:cstheme="minorBidi"/>
          <w:bCs/>
          <w:sz w:val="32"/>
          <w:szCs w:val="32"/>
        </w:rPr>
      </w:pPr>
      <w:r>
        <w:rPr>
          <w:rFonts w:ascii="黑体" w:eastAsia="黑体" w:hAnsi="黑体" w:cstheme="minorBidi" w:hint="eastAsia"/>
          <w:bCs/>
          <w:sz w:val="32"/>
          <w:szCs w:val="32"/>
        </w:rPr>
        <w:t>第六章</w:t>
      </w:r>
      <w:r>
        <w:rPr>
          <w:rFonts w:ascii="黑体" w:eastAsia="黑体" w:hAnsi="黑体" w:cstheme="minorBidi" w:hint="eastAsia"/>
          <w:bCs/>
          <w:sz w:val="32"/>
          <w:szCs w:val="32"/>
        </w:rPr>
        <w:t xml:space="preserve">  </w:t>
      </w:r>
      <w:r>
        <w:rPr>
          <w:rFonts w:ascii="黑体" w:eastAsia="黑体" w:hAnsi="黑体" w:cstheme="minorBidi" w:hint="eastAsia"/>
          <w:bCs/>
          <w:sz w:val="32"/>
          <w:szCs w:val="32"/>
        </w:rPr>
        <w:t>职责分工</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第三十条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财政部门负责牵头拟定总的区级专项资金管理办法；汇总编制区级专项资金预算，审核区业务主管部门区级专项资金目录清单、绩效目标、新增事项等；组织总预算执行，办理资金下达和拨付；对预算执行和绩效目标实现情况进行监控通报，组织开展重点绩效评价和抽查等；做好</w:t>
      </w:r>
      <w:r>
        <w:rPr>
          <w:rFonts w:ascii="仿宋_GB2312" w:eastAsia="仿宋_GB2312" w:hAnsiTheme="minorHAnsi" w:cstheme="minorBidi"/>
          <w:sz w:val="32"/>
          <w:szCs w:val="32"/>
        </w:rPr>
        <w:t>项目库管理</w:t>
      </w:r>
      <w:r>
        <w:rPr>
          <w:rFonts w:ascii="仿宋_GB2312" w:eastAsia="仿宋_GB2312" w:hAnsiTheme="minorHAnsi" w:cstheme="minorBidi" w:hint="eastAsia"/>
          <w:sz w:val="32"/>
          <w:szCs w:val="32"/>
        </w:rPr>
        <w:t>相关</w:t>
      </w:r>
      <w:r>
        <w:rPr>
          <w:rFonts w:ascii="仿宋_GB2312" w:eastAsia="仿宋_GB2312" w:hAnsiTheme="minorHAnsi" w:cstheme="minorBidi"/>
          <w:sz w:val="32"/>
          <w:szCs w:val="32"/>
        </w:rPr>
        <w:t>工作</w:t>
      </w:r>
      <w:r>
        <w:rPr>
          <w:rFonts w:ascii="仿宋_GB2312" w:eastAsia="仿宋_GB2312" w:hAnsiTheme="minorHAnsi" w:cstheme="minorBidi" w:hint="eastAsia"/>
          <w:sz w:val="32"/>
          <w:szCs w:val="32"/>
        </w:rPr>
        <w:t>。</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第三十一条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区业务主管部门全面负责本部门预算编制和执行，对下达区直用款单位和镇（街、区）的区级专项资金执行情况承担指导和监管责任。包括：制定本部门区级专项资金具体管</w:t>
      </w:r>
      <w:r>
        <w:rPr>
          <w:rFonts w:ascii="仿宋_GB2312" w:eastAsia="仿宋_GB2312" w:hAnsiTheme="minorHAnsi" w:cstheme="minorBidi" w:hint="eastAsia"/>
          <w:sz w:val="32"/>
          <w:szCs w:val="32"/>
        </w:rPr>
        <w:lastRenderedPageBreak/>
        <w:t>理办法；负责部门项目库管理；申报区级专项资金预算、目录清单、绩效目标</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制定明细分配方案；制订下达任务清单，对分管区级专项资金预算执行情况进行跟踪监管；负责分管区级专项资金绩效管理、信息公开</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对保留区级</w:t>
      </w:r>
      <w:r>
        <w:rPr>
          <w:rFonts w:ascii="仿宋_GB2312" w:eastAsia="仿宋_GB2312" w:hAnsiTheme="minorHAnsi" w:cstheme="minorBidi"/>
          <w:sz w:val="32"/>
          <w:szCs w:val="32"/>
        </w:rPr>
        <w:t>审批权限的</w:t>
      </w:r>
      <w:r>
        <w:rPr>
          <w:rFonts w:ascii="仿宋_GB2312" w:eastAsia="仿宋_GB2312" w:hAnsiTheme="minorHAnsi" w:cstheme="minorBidi" w:hint="eastAsia"/>
          <w:sz w:val="32"/>
          <w:szCs w:val="32"/>
        </w:rPr>
        <w:t>区级专项资金，做好组织项目审批、验收和考评。</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第三十二条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各镇（街、区）承担区级下达区级专项资金的预算执行、绩效目标监控、任务清单实施的主体责任，确</w:t>
      </w:r>
      <w:r>
        <w:rPr>
          <w:rFonts w:ascii="仿宋_GB2312" w:eastAsia="仿宋_GB2312" w:hAnsiTheme="minorHAnsi" w:cstheme="minorBidi" w:hint="eastAsia"/>
          <w:sz w:val="32"/>
          <w:szCs w:val="32"/>
        </w:rPr>
        <w:t>保完成区业务主管部门下达的任务清单和绩效目标。包括：将区下达的区级专</w:t>
      </w:r>
      <w:r>
        <w:rPr>
          <w:rFonts w:ascii="仿宋_GB2312" w:eastAsia="仿宋_GB2312" w:hAnsi="仿宋_GB2312" w:cs="仿宋_GB2312" w:hint="eastAsia"/>
          <w:sz w:val="32"/>
          <w:szCs w:val="32"/>
        </w:rPr>
        <w:t>项资金纳</w:t>
      </w:r>
      <w:r>
        <w:rPr>
          <w:rFonts w:ascii="仿宋_GB2312" w:eastAsia="仿宋_GB2312" w:hAnsiTheme="minorHAnsi" w:cstheme="minorBidi" w:hint="eastAsia"/>
          <w:sz w:val="32"/>
          <w:szCs w:val="32"/>
        </w:rPr>
        <w:t>入镇级预算全流程规范管理，做好细化分配工作；负责镇级项目库管理；组织项目实施和监管，加强资金管理，做好信息公开、绩效自评、项目验收考评等工作；接受上级监督检查和绩效评价。</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第三十三条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用款单位对项目实施和资金使用负责，严格执行区级专项资金预算，具体组织项目实施，加强财务管理，接受验收考评、监督检查和绩效评价。</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第三十四条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区审计部门按照“谁主管、谁审批、谁使用、谁负责”原则，对区级</w:t>
      </w:r>
      <w:r>
        <w:rPr>
          <w:rFonts w:ascii="仿宋_GB2312" w:eastAsia="仿宋_GB2312" w:hAnsiTheme="minorHAnsi" w:cstheme="minorBidi"/>
          <w:sz w:val="32"/>
          <w:szCs w:val="32"/>
        </w:rPr>
        <w:t>专项资金的管理分配使用等实施审计监督，</w:t>
      </w:r>
      <w:r>
        <w:rPr>
          <w:rFonts w:ascii="仿宋_GB2312" w:eastAsia="仿宋_GB2312" w:hAnsiTheme="minorHAnsi" w:cstheme="minorBidi" w:hint="eastAsia"/>
          <w:sz w:val="32"/>
          <w:szCs w:val="32"/>
        </w:rPr>
        <w:t>按规定将审计发现的违法违规案件线索移交监察机关。</w:t>
      </w:r>
    </w:p>
    <w:p w:rsidR="00AC2D19" w:rsidRDefault="00AC2D19">
      <w:pPr>
        <w:ind w:firstLineChars="200" w:firstLine="640"/>
        <w:rPr>
          <w:rFonts w:ascii="仿宋_GB2312" w:eastAsia="仿宋_GB2312" w:hAnsiTheme="minorHAnsi" w:cstheme="minorBidi"/>
          <w:sz w:val="32"/>
          <w:szCs w:val="32"/>
        </w:rPr>
      </w:pPr>
    </w:p>
    <w:p w:rsidR="00AC2D19" w:rsidRDefault="003774A3">
      <w:pPr>
        <w:jc w:val="center"/>
        <w:rPr>
          <w:rFonts w:ascii="黑体" w:eastAsia="黑体" w:hAnsi="黑体" w:cstheme="minorBidi"/>
          <w:bCs/>
          <w:sz w:val="32"/>
          <w:szCs w:val="32"/>
        </w:rPr>
      </w:pPr>
      <w:r>
        <w:rPr>
          <w:rFonts w:ascii="黑体" w:eastAsia="黑体" w:hAnsi="黑体" w:cstheme="minorBidi" w:hint="eastAsia"/>
          <w:bCs/>
          <w:sz w:val="32"/>
          <w:szCs w:val="32"/>
        </w:rPr>
        <w:t>第七章</w:t>
      </w:r>
      <w:r>
        <w:rPr>
          <w:rFonts w:ascii="黑体" w:eastAsia="黑体" w:hAnsi="黑体" w:cstheme="minorBidi" w:hint="eastAsia"/>
          <w:bCs/>
          <w:sz w:val="32"/>
          <w:szCs w:val="32"/>
        </w:rPr>
        <w:t xml:space="preserve">  </w:t>
      </w:r>
      <w:r>
        <w:rPr>
          <w:rFonts w:ascii="黑体" w:eastAsia="黑体" w:hAnsi="黑体" w:cstheme="minorBidi" w:hint="eastAsia"/>
          <w:bCs/>
          <w:sz w:val="32"/>
          <w:szCs w:val="32"/>
        </w:rPr>
        <w:t>责任追究</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第三十五条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对存在以下情形的，追究相关部门、镇（街、</w:t>
      </w:r>
      <w:r>
        <w:rPr>
          <w:rFonts w:ascii="仿宋_GB2312" w:eastAsia="仿宋_GB2312" w:hAnsiTheme="minorHAnsi" w:cstheme="minorBidi" w:hint="eastAsia"/>
          <w:sz w:val="32"/>
          <w:szCs w:val="32"/>
        </w:rPr>
        <w:lastRenderedPageBreak/>
        <w:t>区）、用款单位及责任人责任。</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（一）对区级专项资金预算执行进度慢、效果差的区业务主管部门和镇（街、区）政府</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办事处、管委会</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主要领导、分管领导，由区财政部门提请区政府进行约谈。</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二）对负责区级专项资金管理的区业务主管部门领导、内设部门领导、经办人员，以及其他协管部门、中介机构有关人员和评审专家在区级专项资金评审、分配、审批过程中存在违法违规行为的，按照“谁审批、谁负责”的原则，视情节</w:t>
      </w:r>
      <w:r>
        <w:rPr>
          <w:rFonts w:ascii="仿宋_GB2312" w:eastAsia="仿宋_GB2312" w:hAnsiTheme="minorHAnsi" w:cstheme="minorBidi" w:hint="eastAsia"/>
          <w:sz w:val="32"/>
          <w:szCs w:val="32"/>
        </w:rPr>
        <w:t>轻重追究责任。</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（三）各业务主管</w:t>
      </w:r>
      <w:r>
        <w:rPr>
          <w:rFonts w:ascii="仿宋_GB2312" w:eastAsia="仿宋_GB2312" w:hAnsiTheme="minorHAnsi" w:cstheme="minorBidi"/>
          <w:sz w:val="32"/>
          <w:szCs w:val="32"/>
        </w:rPr>
        <w:t>部门对</w:t>
      </w:r>
      <w:r>
        <w:rPr>
          <w:rFonts w:ascii="仿宋_GB2312" w:eastAsia="仿宋_GB2312" w:hAnsiTheme="minorHAnsi" w:cstheme="minorBidi" w:hint="eastAsia"/>
          <w:sz w:val="32"/>
          <w:szCs w:val="32"/>
        </w:rPr>
        <w:t>区级专项资金申报、管理、使用过程中存在虚报、挤占、挪用等违法违规行为的，依法依规作出严肃处理，追回区级专项资金，将失信信息纳入社会信用体系实施联合奖惩，并向社会公开。情节严重的，原则上</w:t>
      </w:r>
      <w:r>
        <w:rPr>
          <w:rFonts w:ascii="仿宋_GB2312" w:eastAsia="仿宋_GB2312" w:hAnsiTheme="minorHAnsi" w:cstheme="minorBidi" w:hint="eastAsia"/>
          <w:sz w:val="32"/>
          <w:szCs w:val="32"/>
        </w:rPr>
        <w:t>5</w:t>
      </w:r>
      <w:r>
        <w:rPr>
          <w:rFonts w:ascii="仿宋_GB2312" w:eastAsia="仿宋_GB2312" w:hAnsiTheme="minorHAnsi" w:cstheme="minorBidi" w:hint="eastAsia"/>
          <w:sz w:val="32"/>
          <w:szCs w:val="32"/>
        </w:rPr>
        <w:t>年内停止其申报区级专项资金资格。</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（四）镇（街、区）</w:t>
      </w:r>
      <w:r>
        <w:rPr>
          <w:rFonts w:ascii="仿宋_GB2312" w:eastAsia="仿宋_GB2312" w:hAnsiTheme="minorHAnsi" w:cstheme="minorBidi" w:hint="eastAsia"/>
          <w:sz w:val="32"/>
          <w:szCs w:val="32"/>
        </w:rPr>
        <w:t>和</w:t>
      </w:r>
      <w:r>
        <w:rPr>
          <w:rFonts w:ascii="仿宋_GB2312" w:eastAsia="仿宋_GB2312" w:hAnsiTheme="minorHAnsi" w:cstheme="minorBidi" w:hint="eastAsia"/>
          <w:sz w:val="32"/>
          <w:szCs w:val="32"/>
        </w:rPr>
        <w:t>有关部门未按规定将资金拨付到用款单位的，按有关规定进行问责。</w:t>
      </w:r>
    </w:p>
    <w:p w:rsidR="00AC2D19" w:rsidRDefault="003774A3">
      <w:pPr>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（五）涉嫌违法犯罪的，依法移送司法机关处理。</w:t>
      </w:r>
    </w:p>
    <w:p w:rsidR="00AC2D19" w:rsidRDefault="00AC2D19">
      <w:pPr>
        <w:ind w:firstLineChars="200" w:firstLine="640"/>
        <w:rPr>
          <w:rFonts w:ascii="仿宋_GB2312" w:eastAsia="仿宋_GB2312" w:hAnsiTheme="minorHAnsi" w:cstheme="minorBidi"/>
          <w:sz w:val="32"/>
          <w:szCs w:val="32"/>
        </w:rPr>
      </w:pPr>
    </w:p>
    <w:p w:rsidR="00AC2D19" w:rsidRDefault="003774A3">
      <w:pPr>
        <w:jc w:val="center"/>
        <w:rPr>
          <w:rFonts w:ascii="黑体" w:eastAsia="黑体" w:hAnsi="黑体" w:cstheme="minorBidi"/>
          <w:bCs/>
          <w:sz w:val="32"/>
          <w:szCs w:val="32"/>
        </w:rPr>
      </w:pPr>
      <w:r>
        <w:rPr>
          <w:rFonts w:ascii="黑体" w:eastAsia="黑体" w:hAnsi="黑体" w:cstheme="minorBidi" w:hint="eastAsia"/>
          <w:bCs/>
          <w:sz w:val="32"/>
          <w:szCs w:val="32"/>
        </w:rPr>
        <w:t>第八章</w:t>
      </w:r>
      <w:r>
        <w:rPr>
          <w:rFonts w:ascii="黑体" w:eastAsia="黑体" w:hAnsi="黑体" w:cstheme="minorBidi" w:hint="eastAsia"/>
          <w:bCs/>
          <w:sz w:val="32"/>
          <w:szCs w:val="32"/>
        </w:rPr>
        <w:t xml:space="preserve">  </w:t>
      </w:r>
      <w:r>
        <w:rPr>
          <w:rFonts w:ascii="黑体" w:eastAsia="黑体" w:hAnsi="黑体" w:cstheme="minorBidi" w:hint="eastAsia"/>
          <w:bCs/>
          <w:sz w:val="32"/>
          <w:szCs w:val="32"/>
        </w:rPr>
        <w:t>附</w:t>
      </w:r>
      <w:r>
        <w:rPr>
          <w:rFonts w:ascii="黑体" w:eastAsia="黑体" w:hAnsi="黑体" w:cstheme="minorBidi" w:hint="eastAsia"/>
          <w:bCs/>
          <w:sz w:val="32"/>
          <w:szCs w:val="32"/>
        </w:rPr>
        <w:t xml:space="preserve"> </w:t>
      </w:r>
      <w:r>
        <w:rPr>
          <w:rFonts w:ascii="黑体" w:eastAsia="黑体" w:hAnsi="黑体" w:cstheme="minorBidi" w:hint="eastAsia"/>
          <w:bCs/>
          <w:sz w:val="32"/>
          <w:szCs w:val="32"/>
        </w:rPr>
        <w:t>则</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第三十六条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区财政部门配合区业务主管部门制定各项区级专项资金的管理办法。区业务主管部门可结合实际需要细化制</w:t>
      </w:r>
      <w:r>
        <w:rPr>
          <w:rFonts w:ascii="仿宋_GB2312" w:eastAsia="仿宋_GB2312" w:hAnsiTheme="minorHAnsi" w:cstheme="minorBidi" w:hint="eastAsia"/>
          <w:sz w:val="32"/>
          <w:szCs w:val="32"/>
        </w:rPr>
        <w:t>定</w:t>
      </w:r>
      <w:r>
        <w:rPr>
          <w:rFonts w:ascii="仿宋_GB2312" w:eastAsia="仿宋_GB2312" w:hAnsiTheme="minorHAnsi" w:cstheme="minorBidi" w:hint="eastAsia"/>
          <w:sz w:val="32"/>
          <w:szCs w:val="32"/>
        </w:rPr>
        <w:lastRenderedPageBreak/>
        <w:t>各项区级专项资金的具体实施细则，报区财政部门备案。</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第三十七条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区财政部门依托“数字政府”以及省“数字</w:t>
      </w:r>
      <w:r>
        <w:rPr>
          <w:rFonts w:ascii="仿宋_GB2312" w:eastAsia="仿宋_GB2312" w:hAnsiTheme="minorHAnsi" w:cstheme="minorBidi"/>
          <w:sz w:val="32"/>
          <w:szCs w:val="32"/>
        </w:rPr>
        <w:t>财政</w:t>
      </w:r>
      <w:r>
        <w:rPr>
          <w:rFonts w:ascii="仿宋_GB2312" w:eastAsia="仿宋_GB2312" w:hAnsiTheme="minorHAnsi" w:cstheme="minorBidi" w:hint="eastAsia"/>
          <w:sz w:val="32"/>
          <w:szCs w:val="32"/>
        </w:rPr>
        <w:t>”财政管理一体化信息平台，建立区级专项资金全流程留痕机制，将区级专项资金分配使用纳入监控范围，并为区业务主管部门和镇（街、区）管理使用区级专项资金提供信息技术支撑。</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第三十八条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区政府及其部门过去制定的区级专项资金具体使用管理办法与本办法不符的，按照本办法执行。</w:t>
      </w:r>
    </w:p>
    <w:p w:rsidR="00AC2D19" w:rsidRDefault="003774A3">
      <w:pPr>
        <w:ind w:firstLineChars="200" w:firstLine="643"/>
        <w:rPr>
          <w:rFonts w:ascii="仿宋_GB2312" w:eastAsia="仿宋_GB2312" w:hAnsiTheme="minorHAnsi" w:cstheme="minorBidi"/>
          <w:sz w:val="32"/>
          <w:szCs w:val="32"/>
        </w:rPr>
      </w:pPr>
      <w:r>
        <w:rPr>
          <w:rFonts w:ascii="仿宋_GB2312" w:eastAsia="仿宋_GB2312" w:hAnsiTheme="minorHAnsi" w:cstheme="minorBidi" w:hint="eastAsia"/>
          <w:b/>
          <w:sz w:val="32"/>
          <w:szCs w:val="32"/>
        </w:rPr>
        <w:t>第三十九条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各镇（街、区）政府</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办事处、管委会</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可参照本办法执行</w:t>
      </w:r>
      <w:r>
        <w:rPr>
          <w:rFonts w:ascii="仿宋_GB2312" w:eastAsia="仿宋_GB2312" w:hAnsiTheme="minorHAnsi" w:cstheme="minorBidi"/>
          <w:sz w:val="32"/>
          <w:szCs w:val="32"/>
        </w:rPr>
        <w:t>或</w:t>
      </w:r>
      <w:r>
        <w:rPr>
          <w:rFonts w:ascii="仿宋_GB2312" w:eastAsia="仿宋_GB2312" w:hAnsiTheme="minorHAnsi" w:cstheme="minorBidi" w:hint="eastAsia"/>
          <w:sz w:val="32"/>
          <w:szCs w:val="32"/>
        </w:rPr>
        <w:t>制定本</w:t>
      </w:r>
      <w:r>
        <w:rPr>
          <w:rFonts w:ascii="仿宋_GB2312" w:eastAsia="仿宋_GB2312" w:hAnsiTheme="minorHAnsi" w:cstheme="minorBidi"/>
          <w:sz w:val="32"/>
          <w:szCs w:val="32"/>
        </w:rPr>
        <w:t>地区的</w:t>
      </w:r>
      <w:r>
        <w:rPr>
          <w:rFonts w:ascii="仿宋_GB2312" w:eastAsia="仿宋_GB2312" w:hAnsiTheme="minorHAnsi" w:cstheme="minorBidi" w:hint="eastAsia"/>
          <w:sz w:val="32"/>
          <w:szCs w:val="32"/>
        </w:rPr>
        <w:t>区级专项资金管理办法。</w:t>
      </w:r>
    </w:p>
    <w:p w:rsidR="00AC2D19" w:rsidRDefault="003774A3">
      <w:pPr>
        <w:ind w:firstLineChars="200" w:firstLine="643"/>
        <w:rPr>
          <w:rFonts w:ascii="仿宋_GB2312" w:eastAsia="仿宋_GB2312" w:hAnsiTheme="minorHAnsi" w:cstheme="minorBidi"/>
          <w:sz w:val="32"/>
          <w:szCs w:val="32"/>
          <w:highlight w:val="yellow"/>
        </w:rPr>
      </w:pPr>
      <w:r>
        <w:rPr>
          <w:rFonts w:ascii="仿宋_GB2312" w:eastAsia="仿宋_GB2312" w:hAnsiTheme="minorHAnsi" w:cstheme="minorBidi" w:hint="eastAsia"/>
          <w:b/>
          <w:sz w:val="32"/>
          <w:szCs w:val="32"/>
        </w:rPr>
        <w:t>第四十条</w:t>
      </w:r>
      <w:r>
        <w:rPr>
          <w:rFonts w:ascii="仿宋_GB2312" w:eastAsia="仿宋_GB2312" w:hAnsiTheme="minorHAnsi" w:cstheme="minorBidi" w:hint="eastAsia"/>
          <w:sz w:val="32"/>
          <w:szCs w:val="32"/>
        </w:rPr>
        <w:t xml:space="preserve"> </w:t>
      </w:r>
      <w:r>
        <w:rPr>
          <w:rFonts w:ascii="仿宋_GB2312" w:eastAsia="仿宋_GB2312" w:hAnsiTheme="minorHAnsi" w:cstheme="minorBidi" w:hint="eastAsia"/>
          <w:sz w:val="32"/>
          <w:szCs w:val="32"/>
        </w:rPr>
        <w:t>本办法自印发之日起实施。</w:t>
      </w:r>
    </w:p>
    <w:p w:rsidR="00AC2D19" w:rsidRDefault="00AC2D19">
      <w:pPr>
        <w:ind w:firstLineChars="200" w:firstLine="640"/>
        <w:rPr>
          <w:rFonts w:ascii="仿宋_GB2312" w:eastAsia="仿宋_GB2312" w:hAnsiTheme="minorHAnsi" w:cstheme="minorBidi"/>
          <w:sz w:val="32"/>
          <w:szCs w:val="32"/>
          <w:highlight w:val="yellow"/>
        </w:rPr>
      </w:pPr>
    </w:p>
    <w:p w:rsidR="00AC2D19" w:rsidRDefault="003774A3">
      <w:pPr>
        <w:ind w:left="220" w:firstLine="420"/>
        <w:rPr>
          <w:rFonts w:eastAsia="仿宋_GB2312"/>
          <w:sz w:val="32"/>
          <w:szCs w:val="32"/>
        </w:rPr>
      </w:pPr>
      <w:r>
        <w:rPr>
          <w:rFonts w:ascii="仿宋_GB2312" w:eastAsia="仿宋_GB2312" w:hAnsiTheme="minorHAnsi" w:cstheme="minorBidi" w:hint="eastAsia"/>
          <w:sz w:val="32"/>
          <w:szCs w:val="32"/>
        </w:rPr>
        <w:t>附件：</w:t>
      </w:r>
      <w:r>
        <w:rPr>
          <w:rFonts w:eastAsia="仿宋_GB2312"/>
          <w:sz w:val="32"/>
          <w:szCs w:val="32"/>
        </w:rPr>
        <w:t>1.</w:t>
      </w:r>
      <w:r>
        <w:rPr>
          <w:rFonts w:eastAsia="仿宋_GB2312" w:hint="eastAsia"/>
          <w:sz w:val="32"/>
          <w:szCs w:val="32"/>
        </w:rPr>
        <w:t xml:space="preserve"> </w:t>
      </w:r>
      <w:r>
        <w:rPr>
          <w:rFonts w:eastAsia="仿宋_GB2312"/>
          <w:sz w:val="32"/>
          <w:szCs w:val="32"/>
        </w:rPr>
        <w:t>区级财政专项资金预算编制执行流程图</w:t>
      </w:r>
    </w:p>
    <w:p w:rsidR="00AC2D19" w:rsidRDefault="003774A3">
      <w:pPr>
        <w:ind w:left="640" w:firstLineChars="287" w:firstLine="918"/>
        <w:rPr>
          <w:rFonts w:eastAsia="仿宋_GB2312"/>
          <w:sz w:val="32"/>
          <w:szCs w:val="32"/>
        </w:rPr>
      </w:pPr>
      <w:r>
        <w:rPr>
          <w:rFonts w:eastAsia="仿宋_GB2312"/>
          <w:sz w:val="32"/>
          <w:szCs w:val="32"/>
        </w:rPr>
        <w:t>2.</w:t>
      </w:r>
      <w:r>
        <w:rPr>
          <w:rFonts w:eastAsia="仿宋_GB2312" w:hint="eastAsia"/>
          <w:sz w:val="32"/>
          <w:szCs w:val="32"/>
        </w:rPr>
        <w:t xml:space="preserve"> </w:t>
      </w:r>
      <w:r>
        <w:rPr>
          <w:rFonts w:eastAsia="仿宋_GB2312"/>
          <w:sz w:val="32"/>
          <w:szCs w:val="32"/>
        </w:rPr>
        <w:t>区级财政专项资金目录（样表）</w:t>
      </w:r>
    </w:p>
    <w:p w:rsidR="00AC2D19" w:rsidRDefault="003774A3">
      <w:pPr>
        <w:ind w:left="640" w:firstLineChars="287" w:firstLine="918"/>
        <w:rPr>
          <w:rFonts w:eastAsia="仿宋_GB2312"/>
          <w:sz w:val="32"/>
          <w:szCs w:val="32"/>
        </w:rPr>
      </w:pPr>
      <w:r>
        <w:rPr>
          <w:rFonts w:eastAsia="仿宋_GB2312"/>
          <w:sz w:val="32"/>
          <w:szCs w:val="32"/>
        </w:rPr>
        <w:t>3.</w:t>
      </w:r>
      <w:r>
        <w:rPr>
          <w:rFonts w:eastAsia="仿宋_GB2312" w:hint="eastAsia"/>
          <w:sz w:val="32"/>
          <w:szCs w:val="32"/>
        </w:rPr>
        <w:t xml:space="preserve"> </w:t>
      </w:r>
      <w:r>
        <w:rPr>
          <w:rFonts w:eastAsia="仿宋_GB2312"/>
          <w:sz w:val="32"/>
          <w:szCs w:val="32"/>
        </w:rPr>
        <w:t>区级财政专项资金项目清单（样表）</w:t>
      </w:r>
    </w:p>
    <w:p w:rsidR="00AC2D19" w:rsidRDefault="003774A3">
      <w:pPr>
        <w:ind w:left="640" w:firstLineChars="287" w:firstLine="918"/>
        <w:rPr>
          <w:rFonts w:eastAsia="仿宋_GB2312"/>
          <w:sz w:val="32"/>
          <w:szCs w:val="32"/>
        </w:rPr>
      </w:pPr>
      <w:r>
        <w:rPr>
          <w:rFonts w:eastAsia="仿宋_GB2312"/>
          <w:sz w:val="32"/>
          <w:szCs w:val="32"/>
        </w:rPr>
        <w:t>4.</w:t>
      </w:r>
      <w:r>
        <w:rPr>
          <w:rFonts w:eastAsia="仿宋_GB2312" w:hint="eastAsia"/>
          <w:sz w:val="32"/>
          <w:szCs w:val="32"/>
        </w:rPr>
        <w:t xml:space="preserve"> </w:t>
      </w:r>
      <w:r>
        <w:rPr>
          <w:rFonts w:eastAsia="仿宋_GB2312"/>
          <w:sz w:val="32"/>
          <w:szCs w:val="32"/>
        </w:rPr>
        <w:t>区级财政专项资金新增设立申报表</w:t>
      </w:r>
    </w:p>
    <w:p w:rsidR="00AC2D19" w:rsidRDefault="003774A3">
      <w:pPr>
        <w:ind w:left="640" w:firstLineChars="287" w:firstLine="918"/>
        <w:rPr>
          <w:rFonts w:eastAsia="仿宋_GB2312"/>
          <w:sz w:val="32"/>
          <w:szCs w:val="32"/>
        </w:rPr>
      </w:pPr>
      <w:r>
        <w:rPr>
          <w:rFonts w:eastAsia="仿宋_GB2312"/>
          <w:sz w:val="32"/>
          <w:szCs w:val="32"/>
        </w:rPr>
        <w:t>5.</w:t>
      </w:r>
      <w:r>
        <w:rPr>
          <w:rFonts w:eastAsia="仿宋_GB2312" w:hint="eastAsia"/>
          <w:sz w:val="32"/>
          <w:szCs w:val="32"/>
        </w:rPr>
        <w:t xml:space="preserve"> </w:t>
      </w:r>
      <w:r>
        <w:rPr>
          <w:rFonts w:eastAsia="仿宋_GB2312"/>
          <w:sz w:val="32"/>
          <w:szCs w:val="32"/>
        </w:rPr>
        <w:t>可行性研究报告（编写提纲）</w:t>
      </w:r>
    </w:p>
    <w:p w:rsidR="00AC2D19" w:rsidRDefault="003774A3">
      <w:pPr>
        <w:ind w:left="640" w:firstLineChars="287" w:firstLine="918"/>
        <w:rPr>
          <w:rFonts w:ascii="仿宋_GB2312" w:eastAsia="仿宋_GB2312" w:hAnsiTheme="minorHAnsi" w:cstheme="minorBidi"/>
          <w:sz w:val="32"/>
          <w:szCs w:val="32"/>
        </w:rPr>
      </w:pPr>
      <w:r>
        <w:rPr>
          <w:rFonts w:eastAsia="仿宋_GB2312"/>
          <w:sz w:val="32"/>
          <w:szCs w:val="32"/>
        </w:rPr>
        <w:t>6.</w:t>
      </w:r>
      <w:r>
        <w:rPr>
          <w:rFonts w:eastAsia="仿宋_GB2312" w:hint="eastAsia"/>
          <w:sz w:val="32"/>
          <w:szCs w:val="32"/>
        </w:rPr>
        <w:t xml:space="preserve"> </w:t>
      </w:r>
      <w:r>
        <w:rPr>
          <w:rFonts w:eastAsia="仿宋_GB2312"/>
          <w:sz w:val="32"/>
          <w:szCs w:val="32"/>
        </w:rPr>
        <w:t>区</w:t>
      </w:r>
      <w:r>
        <w:rPr>
          <w:rFonts w:ascii="仿宋_GB2312" w:eastAsia="仿宋_GB2312" w:hAnsiTheme="minorHAnsi" w:cstheme="minorBidi" w:hint="eastAsia"/>
          <w:sz w:val="32"/>
          <w:szCs w:val="32"/>
        </w:rPr>
        <w:t>级财政专项资金任务清单（样表）</w:t>
      </w:r>
    </w:p>
    <w:p w:rsidR="00AC2D19" w:rsidRDefault="003774A3">
      <w:pPr>
        <w:widowControl/>
        <w:jc w:val="left"/>
        <w:rPr>
          <w:rFonts w:ascii="仿宋_GB2312" w:eastAsia="仿宋_GB2312" w:hAnsiTheme="minorHAnsi" w:cstheme="minorBidi"/>
          <w:sz w:val="32"/>
          <w:szCs w:val="32"/>
        </w:rPr>
      </w:pPr>
      <w:r>
        <w:rPr>
          <w:rFonts w:ascii="仿宋_GB2312" w:eastAsia="仿宋_GB2312" w:hAnsiTheme="minorHAnsi" w:cstheme="minorBidi"/>
          <w:sz w:val="32"/>
          <w:szCs w:val="32"/>
        </w:rPr>
        <w:br w:type="page"/>
      </w:r>
    </w:p>
    <w:p w:rsidR="00AC2D19" w:rsidRDefault="003774A3">
      <w:pPr>
        <w:rPr>
          <w:rFonts w:ascii="黑体" w:eastAsia="黑体" w:hAnsi="黑体" w:cstheme="minorBidi"/>
          <w:color w:val="000000"/>
          <w:sz w:val="32"/>
          <w:szCs w:val="32"/>
        </w:rPr>
      </w:pPr>
      <w:r>
        <w:rPr>
          <w:rFonts w:ascii="黑体" w:eastAsia="黑体" w:hAnsi="黑体" w:cstheme="minorBidi"/>
          <w:color w:val="000000"/>
          <w:sz w:val="32"/>
          <w:szCs w:val="32"/>
        </w:rPr>
        <w:lastRenderedPageBreak/>
        <w:t>附件</w:t>
      </w:r>
      <w:r>
        <w:rPr>
          <w:rFonts w:ascii="黑体" w:eastAsia="黑体" w:hAnsi="黑体" w:cstheme="minorBidi"/>
          <w:color w:val="000000"/>
          <w:sz w:val="32"/>
          <w:szCs w:val="32"/>
        </w:rPr>
        <w:t>1</w:t>
      </w:r>
      <w:r>
        <w:rPr>
          <w:rFonts w:ascii="黑体" w:eastAsia="黑体" w:hAnsi="黑体" w:cstheme="minorBidi" w:hint="eastAsia"/>
          <w:color w:val="000000"/>
          <w:sz w:val="32"/>
          <w:szCs w:val="32"/>
        </w:rPr>
        <w:t>：</w:t>
      </w:r>
    </w:p>
    <w:p w:rsidR="00AC2D19" w:rsidRDefault="003774A3">
      <w:pPr>
        <w:spacing w:line="560" w:lineRule="exact"/>
        <w:jc w:val="center"/>
      </w:pPr>
      <w:bookmarkStart w:id="1" w:name="OLE_LINK2"/>
      <w:bookmarkStart w:id="2" w:name="OLE_LINK1"/>
      <w:r>
        <w:rPr>
          <w:rFonts w:ascii="方正小标宋简体" w:eastAsia="方正小标宋简体" w:hAnsi="黑体" w:cstheme="minorBidi" w:hint="eastAsia"/>
          <w:color w:val="000000"/>
          <w:sz w:val="40"/>
          <w:szCs w:val="32"/>
        </w:rPr>
        <w:t>区级财政专项资金预算编制执行流程图</w:t>
      </w:r>
      <w:bookmarkEnd w:id="1"/>
      <w:bookmarkEnd w:id="2"/>
    </w:p>
    <w:p w:rsidR="00AC2D19" w:rsidRDefault="00AC2D19"/>
    <w:p w:rsidR="00AC2D19" w:rsidRDefault="00AC2D19">
      <w:pPr>
        <w:tabs>
          <w:tab w:val="left" w:pos="1227"/>
        </w:tabs>
        <w:jc w:val="left"/>
      </w:pPr>
    </w:p>
    <w:p w:rsidR="00AC2D19" w:rsidRDefault="003774A3">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560.25pt">
            <v:imagedata r:id="rId7" o:title=""/>
          </v:shape>
        </w:pict>
      </w:r>
    </w:p>
    <w:p w:rsidR="00AC2D19" w:rsidRDefault="003774A3">
      <w:pPr>
        <w:widowControl/>
        <w:jc w:val="left"/>
        <w:rPr>
          <w:rFonts w:ascii="黑体" w:eastAsia="黑体" w:hAnsi="黑体" w:cstheme="minorBidi"/>
          <w:color w:val="000000"/>
          <w:sz w:val="32"/>
          <w:szCs w:val="32"/>
        </w:rPr>
      </w:pPr>
      <w:r>
        <w:rPr>
          <w:rFonts w:asciiTheme="minorHAnsi" w:eastAsiaTheme="minorEastAsia" w:hAnsiTheme="minorHAnsi" w:cstheme="minorBidi"/>
          <w:szCs w:val="22"/>
        </w:rPr>
        <w:br w:type="page"/>
      </w:r>
      <w:r>
        <w:rPr>
          <w:rFonts w:ascii="黑体" w:eastAsia="黑体" w:hAnsi="黑体" w:cstheme="minorBidi"/>
          <w:color w:val="000000"/>
          <w:sz w:val="32"/>
          <w:szCs w:val="32"/>
        </w:rPr>
        <w:lastRenderedPageBreak/>
        <w:t>附件</w:t>
      </w:r>
      <w:r>
        <w:rPr>
          <w:rFonts w:ascii="黑体" w:eastAsia="黑体" w:hAnsi="黑体" w:cstheme="minorBidi"/>
          <w:color w:val="000000"/>
          <w:sz w:val="32"/>
          <w:szCs w:val="32"/>
        </w:rPr>
        <w:t>2</w:t>
      </w:r>
      <w:r>
        <w:rPr>
          <w:rFonts w:ascii="黑体" w:eastAsia="黑体" w:hAnsi="黑体" w:cstheme="minorBidi" w:hint="eastAsia"/>
          <w:color w:val="000000"/>
          <w:sz w:val="32"/>
          <w:szCs w:val="32"/>
        </w:rPr>
        <w:t>：</w:t>
      </w:r>
    </w:p>
    <w:p w:rsidR="00AC2D19" w:rsidRDefault="00AC2D19">
      <w:pPr>
        <w:widowControl/>
        <w:jc w:val="left"/>
        <w:rPr>
          <w:rFonts w:ascii="黑体" w:eastAsia="黑体" w:hAnsi="黑体" w:cstheme="minorBidi"/>
          <w:color w:val="000000"/>
          <w:sz w:val="32"/>
          <w:szCs w:val="32"/>
        </w:rPr>
      </w:pPr>
    </w:p>
    <w:p w:rsidR="00AC2D19" w:rsidRDefault="00AC2D19">
      <w:pPr>
        <w:widowControl/>
        <w:jc w:val="left"/>
        <w:rPr>
          <w:rFonts w:asciiTheme="minorHAnsi" w:eastAsiaTheme="minorEastAsia" w:hAnsiTheme="minorHAnsi" w:cstheme="minorBidi"/>
          <w:szCs w:val="22"/>
        </w:rPr>
      </w:pPr>
    </w:p>
    <w:tbl>
      <w:tblPr>
        <w:tblW w:w="9267" w:type="dxa"/>
        <w:tblInd w:w="95" w:type="dxa"/>
        <w:tblLook w:val="04A0" w:firstRow="1" w:lastRow="0" w:firstColumn="1" w:lastColumn="0" w:noHBand="0" w:noVBand="1"/>
      </w:tblPr>
      <w:tblGrid>
        <w:gridCol w:w="1270"/>
        <w:gridCol w:w="1862"/>
        <w:gridCol w:w="905"/>
        <w:gridCol w:w="831"/>
        <w:gridCol w:w="1129"/>
        <w:gridCol w:w="60"/>
        <w:gridCol w:w="925"/>
        <w:gridCol w:w="1116"/>
        <w:gridCol w:w="1169"/>
      </w:tblGrid>
      <w:tr w:rsidR="00AC2D19">
        <w:trPr>
          <w:trHeight w:val="450"/>
        </w:trPr>
        <w:tc>
          <w:tcPr>
            <w:tcW w:w="9267" w:type="dxa"/>
            <w:gridSpan w:val="9"/>
            <w:tcBorders>
              <w:top w:val="nil"/>
              <w:left w:val="nil"/>
              <w:bottom w:val="nil"/>
              <w:right w:val="nil"/>
            </w:tcBorders>
            <w:shd w:val="clear" w:color="auto" w:fill="auto"/>
            <w:noWrap/>
            <w:vAlign w:val="bottom"/>
          </w:tcPr>
          <w:p w:rsidR="00AC2D19" w:rsidRDefault="003774A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区级财政专项资金目录（样表）</w:t>
            </w:r>
          </w:p>
        </w:tc>
      </w:tr>
      <w:tr w:rsidR="00AC2D19">
        <w:trPr>
          <w:trHeight w:val="405"/>
        </w:trPr>
        <w:tc>
          <w:tcPr>
            <w:tcW w:w="1270" w:type="dxa"/>
            <w:tcBorders>
              <w:top w:val="nil"/>
              <w:left w:val="nil"/>
              <w:bottom w:val="nil"/>
              <w:right w:val="nil"/>
            </w:tcBorders>
            <w:shd w:val="clear" w:color="auto" w:fill="auto"/>
            <w:noWrap/>
            <w:vAlign w:val="bottom"/>
          </w:tcPr>
          <w:p w:rsidR="00AC2D19" w:rsidRDefault="00AC2D19">
            <w:pPr>
              <w:widowControl/>
              <w:jc w:val="center"/>
              <w:rPr>
                <w:rFonts w:ascii="宋体" w:hAnsi="宋体" w:cs="宋体"/>
                <w:b/>
                <w:bCs/>
                <w:color w:val="000000"/>
                <w:kern w:val="0"/>
                <w:sz w:val="36"/>
                <w:szCs w:val="36"/>
              </w:rPr>
            </w:pPr>
          </w:p>
        </w:tc>
        <w:tc>
          <w:tcPr>
            <w:tcW w:w="1862"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905"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831"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1189" w:type="dxa"/>
            <w:gridSpan w:val="2"/>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925"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1116"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1169"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r>
      <w:tr w:rsidR="00AC2D19">
        <w:trPr>
          <w:trHeight w:val="465"/>
        </w:trPr>
        <w:tc>
          <w:tcPr>
            <w:tcW w:w="4037" w:type="dxa"/>
            <w:gridSpan w:val="3"/>
            <w:tcBorders>
              <w:top w:val="nil"/>
              <w:left w:val="nil"/>
              <w:bottom w:val="nil"/>
              <w:right w:val="nil"/>
            </w:tcBorders>
            <w:shd w:val="clear" w:color="auto" w:fill="auto"/>
            <w:noWrap/>
            <w:vAlign w:val="center"/>
          </w:tcPr>
          <w:p w:rsidR="00AC2D19" w:rsidRDefault="003774A3">
            <w:pPr>
              <w:widowControl/>
              <w:jc w:val="left"/>
              <w:rPr>
                <w:rFonts w:ascii="宋体" w:hAnsi="宋体" w:cs="宋体"/>
                <w:color w:val="000000"/>
                <w:kern w:val="0"/>
                <w:sz w:val="24"/>
                <w:szCs w:val="22"/>
              </w:rPr>
            </w:pPr>
            <w:r>
              <w:rPr>
                <w:rFonts w:ascii="宋体" w:hAnsi="宋体" w:cs="宋体" w:hint="eastAsia"/>
                <w:color w:val="000000"/>
                <w:kern w:val="0"/>
                <w:sz w:val="24"/>
                <w:szCs w:val="22"/>
              </w:rPr>
              <w:t>主管部门</w:t>
            </w:r>
            <w:r>
              <w:rPr>
                <w:rFonts w:ascii="宋体" w:hAnsi="宋体" w:cs="宋体" w:hint="eastAsia"/>
                <w:color w:val="000000"/>
                <w:kern w:val="0"/>
                <w:sz w:val="24"/>
                <w:szCs w:val="22"/>
              </w:rPr>
              <w:t xml:space="preserve">:          </w:t>
            </w:r>
            <w:r>
              <w:rPr>
                <w:rFonts w:ascii="宋体" w:hAnsi="宋体" w:cs="宋体" w:hint="eastAsia"/>
                <w:color w:val="000000"/>
                <w:kern w:val="0"/>
                <w:sz w:val="24"/>
                <w:szCs w:val="22"/>
              </w:rPr>
              <w:t>所属年度：</w:t>
            </w:r>
          </w:p>
        </w:tc>
        <w:tc>
          <w:tcPr>
            <w:tcW w:w="831" w:type="dxa"/>
            <w:tcBorders>
              <w:top w:val="nil"/>
              <w:left w:val="nil"/>
              <w:bottom w:val="nil"/>
              <w:right w:val="nil"/>
            </w:tcBorders>
            <w:shd w:val="clear" w:color="auto" w:fill="auto"/>
            <w:noWrap/>
            <w:vAlign w:val="center"/>
          </w:tcPr>
          <w:p w:rsidR="00AC2D19" w:rsidRDefault="00AC2D19">
            <w:pPr>
              <w:widowControl/>
              <w:jc w:val="left"/>
              <w:rPr>
                <w:rFonts w:ascii="宋体" w:hAnsi="宋体" w:cs="宋体"/>
                <w:color w:val="000000"/>
                <w:kern w:val="0"/>
                <w:sz w:val="24"/>
                <w:szCs w:val="22"/>
              </w:rPr>
            </w:pPr>
          </w:p>
        </w:tc>
        <w:tc>
          <w:tcPr>
            <w:tcW w:w="1189" w:type="dxa"/>
            <w:gridSpan w:val="2"/>
            <w:tcBorders>
              <w:top w:val="nil"/>
              <w:left w:val="nil"/>
              <w:bottom w:val="nil"/>
              <w:right w:val="nil"/>
            </w:tcBorders>
            <w:shd w:val="clear" w:color="auto" w:fill="auto"/>
            <w:noWrap/>
            <w:vAlign w:val="center"/>
          </w:tcPr>
          <w:p w:rsidR="00AC2D19" w:rsidRDefault="00AC2D19">
            <w:pPr>
              <w:widowControl/>
              <w:jc w:val="left"/>
              <w:rPr>
                <w:rFonts w:eastAsia="Times New Roman"/>
                <w:kern w:val="0"/>
                <w:sz w:val="24"/>
              </w:rPr>
            </w:pPr>
          </w:p>
        </w:tc>
        <w:tc>
          <w:tcPr>
            <w:tcW w:w="925" w:type="dxa"/>
            <w:tcBorders>
              <w:top w:val="nil"/>
              <w:left w:val="nil"/>
              <w:bottom w:val="nil"/>
              <w:right w:val="nil"/>
            </w:tcBorders>
            <w:shd w:val="clear" w:color="auto" w:fill="auto"/>
            <w:noWrap/>
            <w:vAlign w:val="center"/>
          </w:tcPr>
          <w:p w:rsidR="00AC2D19" w:rsidRDefault="00AC2D19">
            <w:pPr>
              <w:widowControl/>
              <w:jc w:val="left"/>
              <w:rPr>
                <w:rFonts w:eastAsia="Times New Roman"/>
                <w:kern w:val="0"/>
                <w:sz w:val="24"/>
              </w:rPr>
            </w:pPr>
          </w:p>
        </w:tc>
        <w:tc>
          <w:tcPr>
            <w:tcW w:w="2285" w:type="dxa"/>
            <w:gridSpan w:val="2"/>
            <w:tcBorders>
              <w:top w:val="nil"/>
              <w:left w:val="nil"/>
              <w:bottom w:val="nil"/>
              <w:right w:val="nil"/>
            </w:tcBorders>
            <w:shd w:val="clear" w:color="auto" w:fill="auto"/>
            <w:noWrap/>
            <w:vAlign w:val="center"/>
          </w:tcPr>
          <w:p w:rsidR="00AC2D19" w:rsidRDefault="003774A3">
            <w:pPr>
              <w:widowControl/>
              <w:jc w:val="right"/>
              <w:rPr>
                <w:rFonts w:ascii="宋体" w:hAnsi="宋体" w:cs="宋体"/>
                <w:color w:val="000000"/>
                <w:kern w:val="0"/>
                <w:sz w:val="24"/>
                <w:szCs w:val="22"/>
              </w:rPr>
            </w:pPr>
            <w:r>
              <w:rPr>
                <w:rFonts w:ascii="宋体" w:hAnsi="宋体" w:cs="宋体" w:hint="eastAsia"/>
                <w:color w:val="000000"/>
                <w:kern w:val="0"/>
                <w:sz w:val="22"/>
                <w:szCs w:val="22"/>
              </w:rPr>
              <w:t>单位：万元</w:t>
            </w:r>
          </w:p>
        </w:tc>
      </w:tr>
      <w:tr w:rsidR="00AC2D19">
        <w:trPr>
          <w:trHeight w:val="675"/>
        </w:trPr>
        <w:tc>
          <w:tcPr>
            <w:tcW w:w="12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2D19" w:rsidRDefault="003774A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战略领域</w:t>
            </w:r>
          </w:p>
        </w:tc>
        <w:tc>
          <w:tcPr>
            <w:tcW w:w="18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专项资金名称</w:t>
            </w:r>
            <w:r>
              <w:rPr>
                <w:rFonts w:ascii="宋体" w:hAnsi="宋体" w:cs="宋体" w:hint="eastAsia"/>
                <w:b/>
                <w:bCs/>
                <w:color w:val="000000"/>
                <w:kern w:val="0"/>
                <w:sz w:val="24"/>
                <w:szCs w:val="22"/>
              </w:rPr>
              <w:br/>
            </w:r>
            <w:r>
              <w:rPr>
                <w:rFonts w:ascii="宋体" w:hAnsi="宋体" w:cs="宋体" w:hint="eastAsia"/>
                <w:b/>
                <w:bCs/>
                <w:color w:val="000000"/>
                <w:kern w:val="0"/>
                <w:sz w:val="24"/>
                <w:szCs w:val="22"/>
              </w:rPr>
              <w:t>（一级项目）</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2D19" w:rsidRDefault="003774A3">
            <w:pPr>
              <w:widowControl/>
              <w:jc w:val="center"/>
              <w:rPr>
                <w:rFonts w:ascii="宋体" w:hAnsi="宋体" w:cs="宋体"/>
                <w:b/>
                <w:bCs/>
                <w:color w:val="000000"/>
                <w:kern w:val="0"/>
                <w:sz w:val="36"/>
                <w:szCs w:val="22"/>
              </w:rPr>
            </w:pPr>
            <w:r>
              <w:rPr>
                <w:rFonts w:ascii="宋体" w:hAnsi="宋体" w:cs="宋体" w:hint="eastAsia"/>
                <w:b/>
                <w:bCs/>
                <w:color w:val="000000"/>
                <w:kern w:val="0"/>
                <w:sz w:val="24"/>
                <w:szCs w:val="22"/>
              </w:rPr>
              <w:t>主要用途</w:t>
            </w:r>
          </w:p>
        </w:tc>
        <w:tc>
          <w:tcPr>
            <w:tcW w:w="4061" w:type="dxa"/>
            <w:gridSpan w:val="5"/>
            <w:tcBorders>
              <w:top w:val="single" w:sz="4" w:space="0" w:color="auto"/>
              <w:left w:val="nil"/>
              <w:bottom w:val="single" w:sz="4" w:space="0" w:color="auto"/>
              <w:right w:val="single" w:sz="4" w:space="0" w:color="auto"/>
            </w:tcBorders>
            <w:shd w:val="clear" w:color="auto" w:fill="auto"/>
            <w:noWrap/>
            <w:vAlign w:val="center"/>
          </w:tcPr>
          <w:p w:rsidR="00AC2D19" w:rsidRDefault="003774A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资金额度</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2"/>
                <w:szCs w:val="22"/>
              </w:rPr>
            </w:pPr>
            <w:r>
              <w:rPr>
                <w:rFonts w:ascii="宋体" w:hAnsi="宋体" w:cs="宋体" w:hint="eastAsia"/>
                <w:b/>
                <w:bCs/>
                <w:color w:val="000000"/>
                <w:kern w:val="0"/>
                <w:sz w:val="24"/>
                <w:szCs w:val="22"/>
              </w:rPr>
              <w:t>实施</w:t>
            </w:r>
            <w:r>
              <w:rPr>
                <w:rFonts w:ascii="宋体" w:hAnsi="宋体" w:cs="宋体" w:hint="eastAsia"/>
                <w:b/>
                <w:bCs/>
                <w:color w:val="000000"/>
                <w:kern w:val="0"/>
                <w:sz w:val="24"/>
                <w:szCs w:val="22"/>
              </w:rPr>
              <w:br/>
            </w:r>
            <w:r>
              <w:rPr>
                <w:rFonts w:ascii="宋体" w:hAnsi="宋体" w:cs="宋体" w:hint="eastAsia"/>
                <w:b/>
                <w:bCs/>
                <w:color w:val="000000"/>
                <w:kern w:val="0"/>
                <w:sz w:val="24"/>
                <w:szCs w:val="22"/>
              </w:rPr>
              <w:t>期限</w:t>
            </w:r>
          </w:p>
        </w:tc>
      </w:tr>
      <w:tr w:rsidR="00AC2D19">
        <w:trPr>
          <w:trHeight w:val="1044"/>
        </w:trPr>
        <w:tc>
          <w:tcPr>
            <w:tcW w:w="1270" w:type="dxa"/>
            <w:vMerge/>
            <w:tcBorders>
              <w:top w:val="single" w:sz="4" w:space="0" w:color="auto"/>
              <w:left w:val="single" w:sz="4" w:space="0" w:color="auto"/>
              <w:bottom w:val="single" w:sz="4" w:space="0" w:color="auto"/>
              <w:right w:val="single" w:sz="4" w:space="0" w:color="auto"/>
            </w:tcBorders>
            <w:vAlign w:val="center"/>
          </w:tcPr>
          <w:p w:rsidR="00AC2D19" w:rsidRDefault="00AC2D19">
            <w:pPr>
              <w:widowControl/>
              <w:jc w:val="left"/>
              <w:rPr>
                <w:rFonts w:ascii="宋体" w:hAnsi="宋体" w:cs="宋体"/>
                <w:b/>
                <w:bCs/>
                <w:color w:val="000000"/>
                <w:kern w:val="0"/>
                <w:sz w:val="22"/>
                <w:szCs w:val="22"/>
              </w:rPr>
            </w:pPr>
          </w:p>
        </w:tc>
        <w:tc>
          <w:tcPr>
            <w:tcW w:w="1862" w:type="dxa"/>
            <w:vMerge/>
            <w:tcBorders>
              <w:top w:val="single" w:sz="4" w:space="0" w:color="auto"/>
              <w:left w:val="single" w:sz="4" w:space="0" w:color="auto"/>
              <w:bottom w:val="single" w:sz="4" w:space="0" w:color="auto"/>
              <w:right w:val="single" w:sz="4" w:space="0" w:color="auto"/>
            </w:tcBorders>
            <w:vAlign w:val="center"/>
          </w:tcPr>
          <w:p w:rsidR="00AC2D19" w:rsidRDefault="00AC2D19">
            <w:pPr>
              <w:widowControl/>
              <w:jc w:val="left"/>
              <w:rPr>
                <w:rFonts w:ascii="宋体" w:hAnsi="宋体" w:cs="宋体"/>
                <w:b/>
                <w:bCs/>
                <w:color w:val="000000"/>
                <w:kern w:val="0"/>
                <w:sz w:val="22"/>
                <w:szCs w:val="22"/>
              </w:rPr>
            </w:pPr>
          </w:p>
        </w:tc>
        <w:tc>
          <w:tcPr>
            <w:tcW w:w="905" w:type="dxa"/>
            <w:vMerge/>
            <w:tcBorders>
              <w:top w:val="single" w:sz="4" w:space="0" w:color="auto"/>
              <w:left w:val="single" w:sz="4" w:space="0" w:color="auto"/>
              <w:bottom w:val="single" w:sz="4" w:space="0" w:color="auto"/>
              <w:right w:val="single" w:sz="4" w:space="0" w:color="auto"/>
            </w:tcBorders>
            <w:vAlign w:val="center"/>
          </w:tcPr>
          <w:p w:rsidR="00AC2D19" w:rsidRDefault="00AC2D19">
            <w:pPr>
              <w:widowControl/>
              <w:jc w:val="left"/>
              <w:rPr>
                <w:rFonts w:ascii="宋体" w:hAnsi="宋体" w:cs="宋体"/>
                <w:b/>
                <w:bCs/>
                <w:color w:val="000000"/>
                <w:kern w:val="0"/>
                <w:sz w:val="22"/>
                <w:szCs w:val="22"/>
              </w:rPr>
            </w:pPr>
          </w:p>
        </w:tc>
        <w:tc>
          <w:tcPr>
            <w:tcW w:w="831" w:type="dxa"/>
            <w:tcBorders>
              <w:top w:val="nil"/>
              <w:left w:val="nil"/>
              <w:bottom w:val="single" w:sz="4" w:space="0" w:color="auto"/>
              <w:right w:val="single" w:sz="4" w:space="0" w:color="auto"/>
            </w:tcBorders>
            <w:shd w:val="clear" w:color="auto" w:fill="auto"/>
            <w:vAlign w:val="center"/>
          </w:tcPr>
          <w:p w:rsidR="00AC2D19" w:rsidRDefault="003774A3">
            <w:pPr>
              <w:widowControl/>
              <w:jc w:val="left"/>
              <w:rPr>
                <w:rFonts w:ascii="宋体" w:hAnsi="宋体" w:cs="宋体"/>
                <w:b/>
                <w:bCs/>
                <w:color w:val="000000"/>
                <w:kern w:val="0"/>
                <w:sz w:val="24"/>
                <w:szCs w:val="22"/>
              </w:rPr>
            </w:pPr>
            <w:r>
              <w:rPr>
                <w:rFonts w:ascii="宋体" w:hAnsi="宋体" w:cs="宋体" w:hint="eastAsia"/>
                <w:b/>
                <w:bCs/>
                <w:color w:val="000000"/>
                <w:kern w:val="0"/>
                <w:sz w:val="24"/>
                <w:szCs w:val="22"/>
              </w:rPr>
              <w:t>合计</w:t>
            </w:r>
          </w:p>
        </w:tc>
        <w:tc>
          <w:tcPr>
            <w:tcW w:w="1129" w:type="dxa"/>
            <w:tcBorders>
              <w:top w:val="nil"/>
              <w:left w:val="nil"/>
              <w:bottom w:val="single" w:sz="4" w:space="0" w:color="auto"/>
              <w:right w:val="single" w:sz="4" w:space="0" w:color="auto"/>
            </w:tcBorders>
            <w:shd w:val="clear" w:color="auto" w:fill="auto"/>
            <w:vAlign w:val="center"/>
          </w:tcPr>
          <w:p w:rsidR="00AC2D19" w:rsidRDefault="003774A3">
            <w:pPr>
              <w:widowControl/>
              <w:jc w:val="left"/>
              <w:rPr>
                <w:rFonts w:ascii="宋体" w:hAnsi="宋体" w:cs="宋体"/>
                <w:b/>
                <w:bCs/>
                <w:color w:val="000000"/>
                <w:kern w:val="0"/>
                <w:sz w:val="24"/>
                <w:szCs w:val="22"/>
              </w:rPr>
            </w:pPr>
            <w:r>
              <w:rPr>
                <w:rFonts w:ascii="宋体" w:hAnsi="宋体" w:cs="宋体" w:hint="eastAsia"/>
                <w:b/>
                <w:bCs/>
                <w:color w:val="000000"/>
                <w:kern w:val="0"/>
                <w:sz w:val="24"/>
                <w:szCs w:val="22"/>
              </w:rPr>
              <w:t>保留区级审批</w:t>
            </w:r>
          </w:p>
        </w:tc>
        <w:tc>
          <w:tcPr>
            <w:tcW w:w="985" w:type="dxa"/>
            <w:gridSpan w:val="2"/>
            <w:tcBorders>
              <w:top w:val="nil"/>
              <w:left w:val="nil"/>
              <w:bottom w:val="single" w:sz="4" w:space="0" w:color="auto"/>
              <w:right w:val="single" w:sz="4" w:space="0" w:color="auto"/>
            </w:tcBorders>
            <w:shd w:val="clear" w:color="auto" w:fill="auto"/>
            <w:vAlign w:val="center"/>
          </w:tcPr>
          <w:p w:rsidR="00AC2D19" w:rsidRDefault="003774A3">
            <w:pPr>
              <w:widowControl/>
              <w:jc w:val="left"/>
              <w:rPr>
                <w:rFonts w:ascii="宋体" w:hAnsi="宋体" w:cs="宋体"/>
                <w:b/>
                <w:bCs/>
                <w:color w:val="000000"/>
                <w:kern w:val="0"/>
                <w:sz w:val="24"/>
                <w:szCs w:val="22"/>
              </w:rPr>
            </w:pPr>
            <w:r>
              <w:rPr>
                <w:rFonts w:ascii="宋体" w:hAnsi="宋体" w:cs="宋体" w:hint="eastAsia"/>
                <w:b/>
                <w:bCs/>
                <w:color w:val="000000"/>
                <w:kern w:val="0"/>
                <w:sz w:val="24"/>
                <w:szCs w:val="22"/>
              </w:rPr>
              <w:t>下放用款单位</w:t>
            </w:r>
          </w:p>
        </w:tc>
        <w:tc>
          <w:tcPr>
            <w:tcW w:w="1116"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下放镇（街、区）</w:t>
            </w:r>
          </w:p>
        </w:tc>
        <w:tc>
          <w:tcPr>
            <w:tcW w:w="1169" w:type="dxa"/>
            <w:vMerge/>
            <w:tcBorders>
              <w:top w:val="single" w:sz="4" w:space="0" w:color="auto"/>
              <w:left w:val="single" w:sz="4" w:space="0" w:color="auto"/>
              <w:bottom w:val="single" w:sz="4" w:space="0" w:color="auto"/>
              <w:right w:val="single" w:sz="4" w:space="0" w:color="auto"/>
            </w:tcBorders>
            <w:vAlign w:val="center"/>
          </w:tcPr>
          <w:p w:rsidR="00AC2D19" w:rsidRDefault="00AC2D19">
            <w:pPr>
              <w:widowControl/>
              <w:jc w:val="left"/>
              <w:rPr>
                <w:rFonts w:ascii="宋体" w:hAnsi="宋体" w:cs="宋体"/>
                <w:b/>
                <w:bCs/>
                <w:color w:val="000000"/>
                <w:kern w:val="0"/>
                <w:sz w:val="22"/>
                <w:szCs w:val="22"/>
              </w:rPr>
            </w:pPr>
          </w:p>
        </w:tc>
      </w:tr>
      <w:tr w:rsidR="00AC2D19">
        <w:trPr>
          <w:trHeight w:val="540"/>
        </w:trPr>
        <w:tc>
          <w:tcPr>
            <w:tcW w:w="1270" w:type="dxa"/>
            <w:tcBorders>
              <w:top w:val="nil"/>
              <w:left w:val="single" w:sz="4" w:space="0" w:color="auto"/>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62"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5"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85" w:type="dxa"/>
            <w:gridSpan w:val="2"/>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16"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6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C2D19">
        <w:trPr>
          <w:trHeight w:val="540"/>
        </w:trPr>
        <w:tc>
          <w:tcPr>
            <w:tcW w:w="1270" w:type="dxa"/>
            <w:tcBorders>
              <w:top w:val="nil"/>
              <w:left w:val="single" w:sz="4" w:space="0" w:color="auto"/>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62"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5"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85" w:type="dxa"/>
            <w:gridSpan w:val="2"/>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16"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6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C2D19">
        <w:trPr>
          <w:trHeight w:val="540"/>
        </w:trPr>
        <w:tc>
          <w:tcPr>
            <w:tcW w:w="1270" w:type="dxa"/>
            <w:tcBorders>
              <w:top w:val="nil"/>
              <w:left w:val="single" w:sz="4" w:space="0" w:color="auto"/>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62"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5"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85" w:type="dxa"/>
            <w:gridSpan w:val="2"/>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16"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6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C2D19">
        <w:trPr>
          <w:trHeight w:val="540"/>
        </w:trPr>
        <w:tc>
          <w:tcPr>
            <w:tcW w:w="1270" w:type="dxa"/>
            <w:tcBorders>
              <w:top w:val="nil"/>
              <w:left w:val="single" w:sz="4" w:space="0" w:color="auto"/>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62"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5"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85" w:type="dxa"/>
            <w:gridSpan w:val="2"/>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16"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6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C2D19">
        <w:trPr>
          <w:trHeight w:val="540"/>
        </w:trPr>
        <w:tc>
          <w:tcPr>
            <w:tcW w:w="1270" w:type="dxa"/>
            <w:tcBorders>
              <w:top w:val="nil"/>
              <w:left w:val="single" w:sz="4" w:space="0" w:color="auto"/>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62"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05"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85" w:type="dxa"/>
            <w:gridSpan w:val="2"/>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16"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6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AC2D19" w:rsidRDefault="003774A3">
      <w:pPr>
        <w:widowControl/>
        <w:jc w:val="left"/>
        <w:rPr>
          <w:rFonts w:ascii="黑体" w:eastAsia="黑体" w:hAnsi="黑体" w:cstheme="minorBidi"/>
          <w:color w:val="000000"/>
          <w:sz w:val="32"/>
          <w:szCs w:val="32"/>
        </w:rPr>
      </w:pPr>
      <w:r>
        <w:rPr>
          <w:rFonts w:ascii="黑体" w:eastAsia="黑体" w:hAnsi="黑体" w:cstheme="minorBidi"/>
          <w:color w:val="000000"/>
          <w:sz w:val="32"/>
          <w:szCs w:val="32"/>
        </w:rPr>
        <w:br w:type="page"/>
      </w:r>
    </w:p>
    <w:p w:rsidR="00AC2D19" w:rsidRDefault="003774A3">
      <w:pPr>
        <w:spacing w:line="560" w:lineRule="exact"/>
        <w:rPr>
          <w:rFonts w:ascii="黑体" w:eastAsia="黑体" w:hAnsi="黑体" w:cstheme="minorBidi"/>
          <w:color w:val="000000"/>
          <w:sz w:val="32"/>
          <w:szCs w:val="32"/>
        </w:rPr>
      </w:pPr>
      <w:r>
        <w:rPr>
          <w:rFonts w:ascii="黑体" w:eastAsia="黑体" w:hAnsi="黑体" w:cstheme="minorBidi"/>
          <w:color w:val="000000"/>
          <w:sz w:val="32"/>
          <w:szCs w:val="32"/>
        </w:rPr>
        <w:lastRenderedPageBreak/>
        <w:t>附件</w:t>
      </w:r>
      <w:r>
        <w:rPr>
          <w:rFonts w:ascii="黑体" w:eastAsia="黑体" w:hAnsi="黑体" w:cstheme="minorBidi"/>
          <w:color w:val="000000"/>
          <w:sz w:val="32"/>
          <w:szCs w:val="32"/>
        </w:rPr>
        <w:t>3</w:t>
      </w:r>
      <w:r>
        <w:rPr>
          <w:rFonts w:ascii="黑体" w:eastAsia="黑体" w:hAnsi="黑体" w:cstheme="minorBidi" w:hint="eastAsia"/>
          <w:color w:val="000000"/>
          <w:sz w:val="32"/>
          <w:szCs w:val="32"/>
        </w:rPr>
        <w:t>：</w:t>
      </w:r>
    </w:p>
    <w:p w:rsidR="00AC2D19" w:rsidRDefault="00AC2D19">
      <w:pPr>
        <w:widowControl/>
        <w:jc w:val="left"/>
        <w:rPr>
          <w:rFonts w:ascii="黑体" w:eastAsia="黑体" w:hAnsi="黑体" w:cstheme="minorBidi"/>
          <w:color w:val="000000"/>
          <w:sz w:val="32"/>
          <w:szCs w:val="32"/>
        </w:rPr>
      </w:pPr>
    </w:p>
    <w:p w:rsidR="00AC2D19" w:rsidRDefault="00AC2D19">
      <w:pPr>
        <w:widowControl/>
        <w:jc w:val="left"/>
        <w:rPr>
          <w:rFonts w:asciiTheme="minorHAnsi" w:eastAsiaTheme="minorEastAsia" w:hAnsiTheme="minorHAnsi" w:cstheme="minorBidi"/>
          <w:szCs w:val="22"/>
        </w:rPr>
      </w:pPr>
    </w:p>
    <w:tbl>
      <w:tblPr>
        <w:tblW w:w="8997" w:type="dxa"/>
        <w:tblInd w:w="75" w:type="dxa"/>
        <w:tblLook w:val="04A0" w:firstRow="1" w:lastRow="0" w:firstColumn="1" w:lastColumn="0" w:noHBand="0" w:noVBand="1"/>
      </w:tblPr>
      <w:tblGrid>
        <w:gridCol w:w="1368"/>
        <w:gridCol w:w="1838"/>
        <w:gridCol w:w="1837"/>
        <w:gridCol w:w="1129"/>
        <w:gridCol w:w="1413"/>
        <w:gridCol w:w="455"/>
        <w:gridCol w:w="957"/>
      </w:tblGrid>
      <w:tr w:rsidR="00AC2D19">
        <w:trPr>
          <w:trHeight w:val="450"/>
        </w:trPr>
        <w:tc>
          <w:tcPr>
            <w:tcW w:w="8997" w:type="dxa"/>
            <w:gridSpan w:val="7"/>
            <w:tcBorders>
              <w:top w:val="nil"/>
              <w:left w:val="nil"/>
              <w:bottom w:val="nil"/>
              <w:right w:val="nil"/>
            </w:tcBorders>
            <w:shd w:val="clear" w:color="auto" w:fill="auto"/>
            <w:noWrap/>
            <w:vAlign w:val="bottom"/>
          </w:tcPr>
          <w:p w:rsidR="00AC2D19" w:rsidRDefault="003774A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区级财政专项资金项目清单（样表）</w:t>
            </w:r>
          </w:p>
        </w:tc>
      </w:tr>
      <w:tr w:rsidR="00AC2D19">
        <w:trPr>
          <w:trHeight w:val="405"/>
        </w:trPr>
        <w:tc>
          <w:tcPr>
            <w:tcW w:w="1368" w:type="dxa"/>
            <w:tcBorders>
              <w:top w:val="nil"/>
              <w:left w:val="nil"/>
              <w:bottom w:val="nil"/>
              <w:right w:val="nil"/>
            </w:tcBorders>
            <w:shd w:val="clear" w:color="auto" w:fill="auto"/>
            <w:noWrap/>
            <w:vAlign w:val="bottom"/>
          </w:tcPr>
          <w:p w:rsidR="00AC2D19" w:rsidRDefault="00AC2D19">
            <w:pPr>
              <w:widowControl/>
              <w:jc w:val="center"/>
              <w:rPr>
                <w:rFonts w:ascii="宋体" w:hAnsi="宋体" w:cs="宋体"/>
                <w:b/>
                <w:bCs/>
                <w:color w:val="000000"/>
                <w:kern w:val="0"/>
                <w:sz w:val="36"/>
                <w:szCs w:val="36"/>
              </w:rPr>
            </w:pPr>
          </w:p>
        </w:tc>
        <w:tc>
          <w:tcPr>
            <w:tcW w:w="1838"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1837"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1129"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1868" w:type="dxa"/>
            <w:gridSpan w:val="2"/>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957"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r>
      <w:tr w:rsidR="00AC2D19">
        <w:trPr>
          <w:trHeight w:val="465"/>
        </w:trPr>
        <w:tc>
          <w:tcPr>
            <w:tcW w:w="5043" w:type="dxa"/>
            <w:gridSpan w:val="3"/>
            <w:tcBorders>
              <w:top w:val="nil"/>
              <w:left w:val="nil"/>
              <w:bottom w:val="nil"/>
              <w:right w:val="nil"/>
            </w:tcBorders>
            <w:shd w:val="clear" w:color="auto" w:fill="auto"/>
            <w:noWrap/>
            <w:vAlign w:val="center"/>
          </w:tcPr>
          <w:p w:rsidR="00AC2D19" w:rsidRDefault="003774A3">
            <w:pPr>
              <w:widowControl/>
              <w:jc w:val="left"/>
              <w:rPr>
                <w:rFonts w:ascii="宋体" w:hAnsi="宋体" w:cs="宋体"/>
                <w:color w:val="000000"/>
                <w:kern w:val="0"/>
                <w:sz w:val="24"/>
                <w:szCs w:val="24"/>
              </w:rPr>
            </w:pPr>
            <w:r>
              <w:rPr>
                <w:rFonts w:ascii="宋体" w:hAnsi="宋体" w:cs="宋体" w:hint="eastAsia"/>
                <w:color w:val="000000"/>
                <w:kern w:val="0"/>
                <w:sz w:val="24"/>
                <w:szCs w:val="24"/>
              </w:rPr>
              <w:t>主管部门</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所属年度：</w:t>
            </w:r>
          </w:p>
        </w:tc>
        <w:tc>
          <w:tcPr>
            <w:tcW w:w="1129" w:type="dxa"/>
            <w:tcBorders>
              <w:top w:val="nil"/>
              <w:left w:val="nil"/>
              <w:bottom w:val="nil"/>
              <w:right w:val="nil"/>
            </w:tcBorders>
            <w:shd w:val="clear" w:color="auto" w:fill="auto"/>
            <w:noWrap/>
            <w:vAlign w:val="center"/>
          </w:tcPr>
          <w:p w:rsidR="00AC2D19" w:rsidRDefault="00AC2D19">
            <w:pPr>
              <w:widowControl/>
              <w:jc w:val="left"/>
              <w:rPr>
                <w:rFonts w:ascii="宋体" w:hAnsi="宋体" w:cs="宋体"/>
                <w:color w:val="000000"/>
                <w:kern w:val="0"/>
                <w:sz w:val="24"/>
                <w:szCs w:val="24"/>
              </w:rPr>
            </w:pPr>
          </w:p>
        </w:tc>
        <w:tc>
          <w:tcPr>
            <w:tcW w:w="2825" w:type="dxa"/>
            <w:gridSpan w:val="3"/>
            <w:tcBorders>
              <w:top w:val="nil"/>
              <w:left w:val="nil"/>
              <w:bottom w:val="single" w:sz="4" w:space="0" w:color="auto"/>
              <w:right w:val="nil"/>
            </w:tcBorders>
            <w:shd w:val="clear" w:color="auto" w:fill="auto"/>
            <w:noWrap/>
            <w:vAlign w:val="center"/>
          </w:tcPr>
          <w:p w:rsidR="00AC2D19" w:rsidRDefault="003774A3">
            <w:pPr>
              <w:widowControl/>
              <w:jc w:val="right"/>
              <w:rPr>
                <w:rFonts w:ascii="宋体" w:hAnsi="宋体" w:cs="宋体"/>
                <w:color w:val="000000"/>
                <w:kern w:val="0"/>
                <w:sz w:val="24"/>
                <w:szCs w:val="24"/>
              </w:rPr>
            </w:pPr>
            <w:r>
              <w:rPr>
                <w:rFonts w:ascii="宋体" w:hAnsi="宋体" w:cs="宋体" w:hint="eastAsia"/>
                <w:color w:val="000000"/>
                <w:kern w:val="0"/>
                <w:sz w:val="24"/>
                <w:szCs w:val="24"/>
              </w:rPr>
              <w:t>单位：万元</w:t>
            </w:r>
          </w:p>
        </w:tc>
      </w:tr>
      <w:tr w:rsidR="00AC2D19">
        <w:trPr>
          <w:trHeight w:val="675"/>
        </w:trPr>
        <w:tc>
          <w:tcPr>
            <w:tcW w:w="13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2D19" w:rsidRDefault="003774A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战略领域</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专项资金名称</w:t>
            </w:r>
            <w:r>
              <w:rPr>
                <w:rFonts w:ascii="宋体" w:hAnsi="宋体" w:cs="宋体" w:hint="eastAsia"/>
                <w:b/>
                <w:bCs/>
                <w:color w:val="000000"/>
                <w:kern w:val="0"/>
                <w:sz w:val="24"/>
                <w:szCs w:val="24"/>
              </w:rPr>
              <w:br/>
            </w:r>
            <w:r>
              <w:rPr>
                <w:rFonts w:ascii="宋体" w:hAnsi="宋体" w:cs="宋体" w:hint="eastAsia"/>
                <w:b/>
                <w:bCs/>
                <w:color w:val="000000"/>
                <w:kern w:val="0"/>
                <w:sz w:val="24"/>
                <w:szCs w:val="24"/>
              </w:rPr>
              <w:t>（一级项目）</w:t>
            </w:r>
          </w:p>
        </w:tc>
        <w:tc>
          <w:tcPr>
            <w:tcW w:w="18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政策任务</w:t>
            </w:r>
            <w:r>
              <w:rPr>
                <w:rFonts w:ascii="宋体" w:hAnsi="宋体" w:cs="宋体" w:hint="eastAsia"/>
                <w:b/>
                <w:bCs/>
                <w:color w:val="000000"/>
                <w:kern w:val="0"/>
                <w:sz w:val="24"/>
                <w:szCs w:val="24"/>
              </w:rPr>
              <w:br/>
            </w:r>
            <w:r>
              <w:rPr>
                <w:rFonts w:ascii="宋体" w:hAnsi="宋体" w:cs="宋体" w:hint="eastAsia"/>
                <w:b/>
                <w:bCs/>
                <w:color w:val="000000"/>
                <w:kern w:val="0"/>
                <w:sz w:val="24"/>
                <w:szCs w:val="24"/>
              </w:rPr>
              <w:t>（二级项目）</w:t>
            </w:r>
          </w:p>
        </w:tc>
        <w:tc>
          <w:tcPr>
            <w:tcW w:w="11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C2D19" w:rsidRDefault="003774A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金额</w:t>
            </w:r>
          </w:p>
        </w:tc>
        <w:tc>
          <w:tcPr>
            <w:tcW w:w="1413" w:type="dxa"/>
            <w:vMerge w:val="restart"/>
            <w:tcBorders>
              <w:top w:val="nil"/>
              <w:left w:val="single" w:sz="4" w:space="0" w:color="auto"/>
              <w:bottom w:val="single" w:sz="4" w:space="0" w:color="000000"/>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主要用途</w:t>
            </w:r>
          </w:p>
        </w:tc>
        <w:tc>
          <w:tcPr>
            <w:tcW w:w="141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绩效目标</w:t>
            </w:r>
          </w:p>
        </w:tc>
      </w:tr>
      <w:tr w:rsidR="00AC2D19">
        <w:trPr>
          <w:trHeight w:val="690"/>
        </w:trPr>
        <w:tc>
          <w:tcPr>
            <w:tcW w:w="1368" w:type="dxa"/>
            <w:vMerge/>
            <w:tcBorders>
              <w:top w:val="single" w:sz="4" w:space="0" w:color="auto"/>
              <w:left w:val="single" w:sz="4" w:space="0" w:color="auto"/>
              <w:bottom w:val="single" w:sz="4" w:space="0" w:color="auto"/>
              <w:right w:val="single" w:sz="4" w:space="0" w:color="auto"/>
            </w:tcBorders>
            <w:vAlign w:val="center"/>
          </w:tcPr>
          <w:p w:rsidR="00AC2D19" w:rsidRDefault="00AC2D19">
            <w:pPr>
              <w:widowControl/>
              <w:jc w:val="left"/>
              <w:rPr>
                <w:rFonts w:ascii="宋体" w:hAnsi="宋体" w:cs="宋体"/>
                <w:b/>
                <w:bCs/>
                <w:color w:val="000000"/>
                <w:kern w:val="0"/>
                <w:sz w:val="24"/>
                <w:szCs w:val="24"/>
              </w:rPr>
            </w:pPr>
          </w:p>
        </w:tc>
        <w:tc>
          <w:tcPr>
            <w:tcW w:w="1838" w:type="dxa"/>
            <w:vMerge/>
            <w:tcBorders>
              <w:top w:val="single" w:sz="4" w:space="0" w:color="auto"/>
              <w:left w:val="single" w:sz="4" w:space="0" w:color="auto"/>
              <w:bottom w:val="single" w:sz="4" w:space="0" w:color="auto"/>
              <w:right w:val="single" w:sz="4" w:space="0" w:color="auto"/>
            </w:tcBorders>
            <w:vAlign w:val="center"/>
          </w:tcPr>
          <w:p w:rsidR="00AC2D19" w:rsidRDefault="00AC2D19">
            <w:pPr>
              <w:widowControl/>
              <w:jc w:val="left"/>
              <w:rPr>
                <w:rFonts w:ascii="宋体" w:hAnsi="宋体" w:cs="宋体"/>
                <w:b/>
                <w:bCs/>
                <w:color w:val="000000"/>
                <w:kern w:val="0"/>
                <w:sz w:val="24"/>
                <w:szCs w:val="24"/>
              </w:rPr>
            </w:pPr>
          </w:p>
        </w:tc>
        <w:tc>
          <w:tcPr>
            <w:tcW w:w="1837" w:type="dxa"/>
            <w:vMerge/>
            <w:tcBorders>
              <w:top w:val="single" w:sz="4" w:space="0" w:color="auto"/>
              <w:left w:val="single" w:sz="4" w:space="0" w:color="auto"/>
              <w:bottom w:val="single" w:sz="4" w:space="0" w:color="auto"/>
              <w:right w:val="single" w:sz="4" w:space="0" w:color="auto"/>
            </w:tcBorders>
            <w:vAlign w:val="center"/>
          </w:tcPr>
          <w:p w:rsidR="00AC2D19" w:rsidRDefault="00AC2D19">
            <w:pPr>
              <w:widowControl/>
              <w:jc w:val="left"/>
              <w:rPr>
                <w:rFonts w:ascii="宋体" w:hAnsi="宋体" w:cs="宋体"/>
                <w:b/>
                <w:bCs/>
                <w:color w:val="000000"/>
                <w:kern w:val="0"/>
                <w:sz w:val="24"/>
                <w:szCs w:val="24"/>
              </w:rPr>
            </w:pPr>
          </w:p>
        </w:tc>
        <w:tc>
          <w:tcPr>
            <w:tcW w:w="1129" w:type="dxa"/>
            <w:vMerge/>
            <w:tcBorders>
              <w:top w:val="single" w:sz="4" w:space="0" w:color="auto"/>
              <w:left w:val="single" w:sz="4" w:space="0" w:color="auto"/>
              <w:bottom w:val="single" w:sz="4" w:space="0" w:color="000000"/>
              <w:right w:val="single" w:sz="4" w:space="0" w:color="auto"/>
            </w:tcBorders>
            <w:vAlign w:val="center"/>
          </w:tcPr>
          <w:p w:rsidR="00AC2D19" w:rsidRDefault="00AC2D19">
            <w:pPr>
              <w:widowControl/>
              <w:jc w:val="left"/>
              <w:rPr>
                <w:rFonts w:ascii="宋体" w:hAnsi="宋体" w:cs="宋体"/>
                <w:b/>
                <w:bCs/>
                <w:color w:val="000000"/>
                <w:kern w:val="0"/>
                <w:sz w:val="24"/>
                <w:szCs w:val="24"/>
              </w:rPr>
            </w:pPr>
          </w:p>
        </w:tc>
        <w:tc>
          <w:tcPr>
            <w:tcW w:w="1413" w:type="dxa"/>
            <w:vMerge/>
            <w:tcBorders>
              <w:top w:val="nil"/>
              <w:left w:val="single" w:sz="4" w:space="0" w:color="auto"/>
              <w:bottom w:val="single" w:sz="4" w:space="0" w:color="000000"/>
              <w:right w:val="single" w:sz="4" w:space="0" w:color="auto"/>
            </w:tcBorders>
            <w:vAlign w:val="center"/>
          </w:tcPr>
          <w:p w:rsidR="00AC2D19" w:rsidRDefault="00AC2D19">
            <w:pPr>
              <w:widowControl/>
              <w:jc w:val="left"/>
              <w:rPr>
                <w:rFonts w:ascii="宋体" w:hAnsi="宋体" w:cs="宋体"/>
                <w:b/>
                <w:bCs/>
                <w:color w:val="000000"/>
                <w:kern w:val="0"/>
                <w:sz w:val="24"/>
                <w:szCs w:val="24"/>
              </w:rPr>
            </w:pPr>
          </w:p>
        </w:tc>
        <w:tc>
          <w:tcPr>
            <w:tcW w:w="1412" w:type="dxa"/>
            <w:gridSpan w:val="2"/>
            <w:vMerge/>
            <w:tcBorders>
              <w:top w:val="nil"/>
              <w:left w:val="single" w:sz="4" w:space="0" w:color="auto"/>
              <w:bottom w:val="single" w:sz="4" w:space="0" w:color="auto"/>
              <w:right w:val="single" w:sz="4" w:space="0" w:color="auto"/>
            </w:tcBorders>
            <w:vAlign w:val="center"/>
          </w:tcPr>
          <w:p w:rsidR="00AC2D19" w:rsidRDefault="00AC2D19">
            <w:pPr>
              <w:widowControl/>
              <w:jc w:val="left"/>
              <w:rPr>
                <w:rFonts w:ascii="宋体" w:hAnsi="宋体" w:cs="宋体"/>
                <w:b/>
                <w:bCs/>
                <w:color w:val="000000"/>
                <w:kern w:val="0"/>
                <w:sz w:val="24"/>
                <w:szCs w:val="24"/>
              </w:rPr>
            </w:pPr>
          </w:p>
        </w:tc>
      </w:tr>
      <w:tr w:rsidR="00AC2D19">
        <w:trPr>
          <w:trHeight w:val="540"/>
        </w:trPr>
        <w:tc>
          <w:tcPr>
            <w:tcW w:w="1368" w:type="dxa"/>
            <w:tcBorders>
              <w:top w:val="nil"/>
              <w:left w:val="single" w:sz="4" w:space="0" w:color="auto"/>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38"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37"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3"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2" w:type="dxa"/>
            <w:gridSpan w:val="2"/>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C2D19">
        <w:trPr>
          <w:trHeight w:val="540"/>
        </w:trPr>
        <w:tc>
          <w:tcPr>
            <w:tcW w:w="1368" w:type="dxa"/>
            <w:tcBorders>
              <w:top w:val="nil"/>
              <w:left w:val="single" w:sz="4" w:space="0" w:color="auto"/>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38"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37"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3"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2" w:type="dxa"/>
            <w:gridSpan w:val="2"/>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C2D19">
        <w:trPr>
          <w:trHeight w:val="540"/>
        </w:trPr>
        <w:tc>
          <w:tcPr>
            <w:tcW w:w="1368" w:type="dxa"/>
            <w:tcBorders>
              <w:top w:val="nil"/>
              <w:left w:val="single" w:sz="4" w:space="0" w:color="auto"/>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38"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37"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3"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2" w:type="dxa"/>
            <w:gridSpan w:val="2"/>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C2D19">
        <w:trPr>
          <w:trHeight w:val="540"/>
        </w:trPr>
        <w:tc>
          <w:tcPr>
            <w:tcW w:w="1368" w:type="dxa"/>
            <w:tcBorders>
              <w:top w:val="nil"/>
              <w:left w:val="single" w:sz="4" w:space="0" w:color="auto"/>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38"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37"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3"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2" w:type="dxa"/>
            <w:gridSpan w:val="2"/>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C2D19">
        <w:trPr>
          <w:trHeight w:val="540"/>
        </w:trPr>
        <w:tc>
          <w:tcPr>
            <w:tcW w:w="1368" w:type="dxa"/>
            <w:tcBorders>
              <w:top w:val="nil"/>
              <w:left w:val="single" w:sz="4" w:space="0" w:color="auto"/>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38"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37"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3" w:type="dxa"/>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2" w:type="dxa"/>
            <w:gridSpan w:val="2"/>
            <w:tcBorders>
              <w:top w:val="nil"/>
              <w:left w:val="nil"/>
              <w:bottom w:val="single" w:sz="4" w:space="0" w:color="auto"/>
              <w:right w:val="single" w:sz="4" w:space="0" w:color="auto"/>
            </w:tcBorders>
            <w:shd w:val="clear" w:color="auto" w:fill="auto"/>
            <w:noWrap/>
            <w:vAlign w:val="bottom"/>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AC2D19" w:rsidRDefault="00AC2D19">
      <w:pPr>
        <w:widowControl/>
        <w:jc w:val="left"/>
        <w:rPr>
          <w:rFonts w:ascii="黑体" w:eastAsia="黑体" w:hAnsi="黑体" w:cstheme="minorBidi"/>
          <w:color w:val="000000"/>
          <w:sz w:val="32"/>
          <w:szCs w:val="32"/>
        </w:rPr>
      </w:pPr>
    </w:p>
    <w:p w:rsidR="00AC2D19" w:rsidRDefault="003774A3">
      <w:pPr>
        <w:widowControl/>
        <w:jc w:val="left"/>
        <w:rPr>
          <w:rFonts w:ascii="黑体" w:eastAsia="黑体" w:hAnsi="黑体" w:cstheme="minorBidi"/>
          <w:color w:val="000000"/>
          <w:sz w:val="32"/>
          <w:szCs w:val="32"/>
        </w:rPr>
      </w:pPr>
      <w:r>
        <w:rPr>
          <w:rFonts w:ascii="黑体" w:eastAsia="黑体" w:hAnsi="黑体" w:cstheme="minorBidi"/>
          <w:color w:val="000000"/>
          <w:sz w:val="32"/>
          <w:szCs w:val="32"/>
        </w:rPr>
        <w:br w:type="page"/>
      </w:r>
    </w:p>
    <w:p w:rsidR="00AC2D19" w:rsidRDefault="003774A3">
      <w:pPr>
        <w:spacing w:line="560" w:lineRule="exact"/>
        <w:rPr>
          <w:rFonts w:ascii="黑体" w:eastAsia="黑体" w:hAnsi="黑体" w:cstheme="minorBidi"/>
          <w:color w:val="000000"/>
          <w:sz w:val="32"/>
          <w:szCs w:val="32"/>
        </w:rPr>
      </w:pPr>
      <w:r>
        <w:rPr>
          <w:rFonts w:ascii="黑体" w:eastAsia="黑体" w:hAnsi="黑体" w:cstheme="minorBidi"/>
          <w:color w:val="000000"/>
          <w:sz w:val="32"/>
          <w:szCs w:val="32"/>
        </w:rPr>
        <w:lastRenderedPageBreak/>
        <w:t>附件</w:t>
      </w:r>
      <w:r>
        <w:rPr>
          <w:rFonts w:ascii="黑体" w:eastAsia="黑体" w:hAnsi="黑体" w:cstheme="minorBidi"/>
          <w:color w:val="000000"/>
          <w:sz w:val="32"/>
          <w:szCs w:val="32"/>
        </w:rPr>
        <w:t>4</w:t>
      </w:r>
      <w:r>
        <w:rPr>
          <w:rFonts w:ascii="黑体" w:eastAsia="黑体" w:hAnsi="黑体" w:cstheme="minorBidi" w:hint="eastAsia"/>
          <w:color w:val="000000"/>
          <w:sz w:val="32"/>
          <w:szCs w:val="32"/>
        </w:rPr>
        <w:t>：</w:t>
      </w:r>
    </w:p>
    <w:p w:rsidR="00AC2D19" w:rsidRDefault="003774A3">
      <w:pPr>
        <w:spacing w:line="560" w:lineRule="exact"/>
        <w:jc w:val="center"/>
        <w:rPr>
          <w:rFonts w:ascii="华文中宋" w:eastAsia="华文中宋" w:hAnsi="华文中宋" w:cstheme="minorBidi"/>
          <w:color w:val="000000"/>
          <w:sz w:val="44"/>
          <w:szCs w:val="44"/>
        </w:rPr>
      </w:pPr>
      <w:r>
        <w:rPr>
          <w:rFonts w:ascii="华文中宋" w:eastAsia="华文中宋" w:hAnsi="华文中宋" w:cstheme="minorBidi"/>
          <w:color w:val="000000"/>
          <w:sz w:val="44"/>
          <w:szCs w:val="44"/>
        </w:rPr>
        <w:t>区级财政专项资金</w:t>
      </w:r>
      <w:r>
        <w:rPr>
          <w:rFonts w:ascii="华文中宋" w:eastAsia="华文中宋" w:hAnsi="华文中宋" w:cstheme="minorBidi" w:hint="eastAsia"/>
          <w:color w:val="000000"/>
          <w:sz w:val="44"/>
          <w:szCs w:val="44"/>
        </w:rPr>
        <w:t>新增</w:t>
      </w:r>
      <w:r>
        <w:rPr>
          <w:rFonts w:ascii="华文中宋" w:eastAsia="华文中宋" w:hAnsi="华文中宋" w:cstheme="minorBidi"/>
          <w:color w:val="000000"/>
          <w:sz w:val="44"/>
          <w:szCs w:val="44"/>
        </w:rPr>
        <w:t>设立申报表</w:t>
      </w:r>
    </w:p>
    <w:p w:rsidR="00AC2D19" w:rsidRDefault="00AC2D19">
      <w:pPr>
        <w:spacing w:line="560" w:lineRule="exact"/>
        <w:jc w:val="center"/>
        <w:rPr>
          <w:rFonts w:asciiTheme="minorHAnsi" w:eastAsia="仿宋_GB2312" w:hAnsiTheme="minorHAnsi" w:cstheme="minorBidi"/>
          <w:b/>
          <w:color w:val="000000"/>
          <w:sz w:val="44"/>
          <w:szCs w:val="44"/>
        </w:rPr>
      </w:pPr>
    </w:p>
    <w:p w:rsidR="00AC2D19" w:rsidRDefault="003774A3">
      <w:pPr>
        <w:spacing w:line="560" w:lineRule="exact"/>
        <w:ind w:firstLineChars="50" w:firstLine="161"/>
        <w:rPr>
          <w:rFonts w:asciiTheme="minorHAnsi" w:eastAsia="仿宋_GB2312" w:hAnsiTheme="minorHAnsi" w:cstheme="minorBidi"/>
          <w:b/>
          <w:color w:val="000000"/>
          <w:sz w:val="32"/>
          <w:szCs w:val="32"/>
        </w:rPr>
      </w:pPr>
      <w:r>
        <w:rPr>
          <w:rFonts w:asciiTheme="minorHAnsi" w:eastAsia="仿宋_GB2312" w:hAnsiTheme="minorHAnsi" w:cstheme="minorBidi"/>
          <w:b/>
          <w:color w:val="000000"/>
          <w:sz w:val="32"/>
          <w:szCs w:val="32"/>
        </w:rPr>
        <w:t>填报日期：</w:t>
      </w:r>
      <w:r>
        <w:rPr>
          <w:rFonts w:asciiTheme="minorHAnsi" w:eastAsia="仿宋_GB2312" w:hAnsiTheme="minorHAnsi" w:cstheme="minorBidi"/>
          <w:b/>
          <w:color w:val="000000"/>
          <w:sz w:val="32"/>
          <w:szCs w:val="32"/>
        </w:rPr>
        <w:t xml:space="preserve">           </w:t>
      </w:r>
      <w:r>
        <w:rPr>
          <w:rFonts w:asciiTheme="minorHAnsi" w:eastAsia="仿宋_GB2312" w:hAnsiTheme="minorHAnsi" w:cstheme="minorBidi"/>
          <w:b/>
          <w:color w:val="000000"/>
          <w:sz w:val="32"/>
          <w:szCs w:val="32"/>
        </w:rPr>
        <w:t>（单位盖章）</w:t>
      </w:r>
      <w:r>
        <w:rPr>
          <w:rFonts w:asciiTheme="minorHAnsi" w:eastAsia="仿宋_GB2312" w:hAnsiTheme="minorHAnsi" w:cstheme="minorBidi"/>
          <w:b/>
          <w:color w:val="000000"/>
          <w:sz w:val="32"/>
          <w:szCs w:val="32"/>
        </w:rPr>
        <w:t xml:space="preserve">   </w:t>
      </w:r>
      <w:r>
        <w:rPr>
          <w:rFonts w:asciiTheme="minorHAnsi" w:eastAsia="仿宋_GB2312" w:hAnsiTheme="minorHAnsi" w:cstheme="minorBidi" w:hint="eastAsia"/>
          <w:b/>
          <w:color w:val="000000"/>
          <w:sz w:val="32"/>
          <w:szCs w:val="32"/>
        </w:rPr>
        <w:t xml:space="preserve">　</w:t>
      </w:r>
      <w:r>
        <w:rPr>
          <w:rFonts w:asciiTheme="minorHAnsi" w:eastAsia="仿宋_GB2312" w:hAnsiTheme="minorHAnsi" w:cstheme="minorBidi"/>
          <w:b/>
          <w:color w:val="000000"/>
          <w:sz w:val="32"/>
          <w:szCs w:val="32"/>
        </w:rPr>
        <w:t xml:space="preserve">     </w:t>
      </w:r>
      <w:r>
        <w:rPr>
          <w:rFonts w:asciiTheme="minorHAnsi" w:eastAsia="仿宋_GB2312" w:hAnsiTheme="minorHAnsi" w:cstheme="minorBidi"/>
          <w:b/>
          <w:color w:val="000000"/>
          <w:sz w:val="32"/>
          <w:szCs w:val="32"/>
        </w:rPr>
        <w:t>单位：万元</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800"/>
        <w:gridCol w:w="2340"/>
        <w:gridCol w:w="1800"/>
      </w:tblGrid>
      <w:tr w:rsidR="00AC2D19">
        <w:trPr>
          <w:jc w:val="center"/>
        </w:trPr>
        <w:tc>
          <w:tcPr>
            <w:tcW w:w="32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申报单位</w:t>
            </w:r>
          </w:p>
        </w:tc>
        <w:tc>
          <w:tcPr>
            <w:tcW w:w="1800" w:type="dxa"/>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c>
          <w:tcPr>
            <w:tcW w:w="23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单位编码</w:t>
            </w:r>
          </w:p>
        </w:tc>
        <w:tc>
          <w:tcPr>
            <w:tcW w:w="1800" w:type="dxa"/>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r>
      <w:tr w:rsidR="00AC2D19">
        <w:trPr>
          <w:jc w:val="center"/>
        </w:trPr>
        <w:tc>
          <w:tcPr>
            <w:tcW w:w="32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hint="eastAsia"/>
                <w:color w:val="000000"/>
                <w:sz w:val="32"/>
                <w:szCs w:val="32"/>
              </w:rPr>
              <w:t>区级</w:t>
            </w:r>
            <w:r>
              <w:rPr>
                <w:rFonts w:asciiTheme="minorHAnsi" w:eastAsia="仿宋_GB2312" w:hAnsiTheme="minorHAnsi" w:cstheme="minorBidi"/>
                <w:color w:val="000000"/>
                <w:sz w:val="32"/>
                <w:szCs w:val="32"/>
              </w:rPr>
              <w:t>专项资金名称</w:t>
            </w:r>
          </w:p>
        </w:tc>
        <w:tc>
          <w:tcPr>
            <w:tcW w:w="1800" w:type="dxa"/>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c>
          <w:tcPr>
            <w:tcW w:w="23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设立年限</w:t>
            </w:r>
          </w:p>
        </w:tc>
        <w:tc>
          <w:tcPr>
            <w:tcW w:w="1800" w:type="dxa"/>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r>
      <w:tr w:rsidR="00AC2D19">
        <w:trPr>
          <w:jc w:val="center"/>
        </w:trPr>
        <w:tc>
          <w:tcPr>
            <w:tcW w:w="32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申报责任人</w:t>
            </w:r>
          </w:p>
        </w:tc>
        <w:tc>
          <w:tcPr>
            <w:tcW w:w="1800" w:type="dxa"/>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c>
          <w:tcPr>
            <w:tcW w:w="23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联系电话</w:t>
            </w:r>
          </w:p>
        </w:tc>
        <w:tc>
          <w:tcPr>
            <w:tcW w:w="1800" w:type="dxa"/>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r>
      <w:tr w:rsidR="00AC2D19">
        <w:trPr>
          <w:trHeight w:val="931"/>
          <w:jc w:val="center"/>
        </w:trPr>
        <w:tc>
          <w:tcPr>
            <w:tcW w:w="32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设立依据</w:t>
            </w:r>
          </w:p>
        </w:tc>
        <w:tc>
          <w:tcPr>
            <w:tcW w:w="1800" w:type="dxa"/>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c>
          <w:tcPr>
            <w:tcW w:w="23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hint="eastAsia"/>
                <w:color w:val="000000"/>
                <w:sz w:val="32"/>
                <w:szCs w:val="32"/>
              </w:rPr>
              <w:t>新增</w:t>
            </w:r>
            <w:r>
              <w:rPr>
                <w:rFonts w:asciiTheme="minorHAnsi" w:eastAsia="仿宋_GB2312" w:hAnsiTheme="minorHAnsi" w:cstheme="minorBidi"/>
                <w:color w:val="000000"/>
                <w:sz w:val="32"/>
                <w:szCs w:val="32"/>
              </w:rPr>
              <w:t>设立</w:t>
            </w:r>
          </w:p>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资金总额</w:t>
            </w:r>
          </w:p>
        </w:tc>
        <w:tc>
          <w:tcPr>
            <w:tcW w:w="1800" w:type="dxa"/>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r>
      <w:tr w:rsidR="00AC2D19">
        <w:trPr>
          <w:trHeight w:val="1183"/>
          <w:jc w:val="center"/>
        </w:trPr>
        <w:tc>
          <w:tcPr>
            <w:tcW w:w="32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设立原因</w:t>
            </w:r>
          </w:p>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及背景</w:t>
            </w:r>
          </w:p>
        </w:tc>
        <w:tc>
          <w:tcPr>
            <w:tcW w:w="5940" w:type="dxa"/>
            <w:gridSpan w:val="3"/>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r>
      <w:tr w:rsidR="00AC2D19">
        <w:trPr>
          <w:trHeight w:val="1172"/>
          <w:jc w:val="center"/>
        </w:trPr>
        <w:tc>
          <w:tcPr>
            <w:tcW w:w="32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年限内每年资金</w:t>
            </w:r>
          </w:p>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安排计划</w:t>
            </w:r>
          </w:p>
        </w:tc>
        <w:tc>
          <w:tcPr>
            <w:tcW w:w="5940" w:type="dxa"/>
            <w:gridSpan w:val="3"/>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r>
      <w:tr w:rsidR="00AC2D19">
        <w:trPr>
          <w:trHeight w:val="1174"/>
          <w:jc w:val="center"/>
        </w:trPr>
        <w:tc>
          <w:tcPr>
            <w:tcW w:w="32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使用范围和方向</w:t>
            </w:r>
          </w:p>
        </w:tc>
        <w:tc>
          <w:tcPr>
            <w:tcW w:w="5940" w:type="dxa"/>
            <w:gridSpan w:val="3"/>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r>
      <w:tr w:rsidR="00AC2D19">
        <w:trPr>
          <w:trHeight w:val="1138"/>
          <w:jc w:val="center"/>
        </w:trPr>
        <w:tc>
          <w:tcPr>
            <w:tcW w:w="32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分配办法和分配方式</w:t>
            </w:r>
          </w:p>
        </w:tc>
        <w:tc>
          <w:tcPr>
            <w:tcW w:w="5940" w:type="dxa"/>
            <w:gridSpan w:val="3"/>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r>
      <w:tr w:rsidR="00AC2D19">
        <w:trPr>
          <w:trHeight w:hRule="exact" w:val="1056"/>
          <w:jc w:val="center"/>
        </w:trPr>
        <w:tc>
          <w:tcPr>
            <w:tcW w:w="32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绩效目标</w:t>
            </w:r>
          </w:p>
        </w:tc>
        <w:tc>
          <w:tcPr>
            <w:tcW w:w="5940" w:type="dxa"/>
            <w:gridSpan w:val="3"/>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r>
      <w:tr w:rsidR="00AC2D19">
        <w:trPr>
          <w:trHeight w:val="1150"/>
          <w:jc w:val="center"/>
        </w:trPr>
        <w:tc>
          <w:tcPr>
            <w:tcW w:w="32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部门审核意见</w:t>
            </w:r>
          </w:p>
        </w:tc>
        <w:tc>
          <w:tcPr>
            <w:tcW w:w="5940" w:type="dxa"/>
            <w:gridSpan w:val="3"/>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r>
      <w:tr w:rsidR="00AC2D19">
        <w:trPr>
          <w:trHeight w:val="1626"/>
          <w:jc w:val="center"/>
        </w:trPr>
        <w:tc>
          <w:tcPr>
            <w:tcW w:w="3240" w:type="dxa"/>
            <w:shd w:val="clear" w:color="auto" w:fill="auto"/>
            <w:vAlign w:val="center"/>
          </w:tcPr>
          <w:p w:rsidR="00AC2D19" w:rsidRDefault="003774A3">
            <w:pPr>
              <w:spacing w:line="440" w:lineRule="exact"/>
              <w:jc w:val="center"/>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区财政局审核意见</w:t>
            </w:r>
          </w:p>
        </w:tc>
        <w:tc>
          <w:tcPr>
            <w:tcW w:w="5940" w:type="dxa"/>
            <w:gridSpan w:val="3"/>
            <w:shd w:val="clear" w:color="auto" w:fill="auto"/>
            <w:vAlign w:val="center"/>
          </w:tcPr>
          <w:p w:rsidR="00AC2D19" w:rsidRDefault="00AC2D19">
            <w:pPr>
              <w:spacing w:line="440" w:lineRule="exact"/>
              <w:jc w:val="center"/>
              <w:rPr>
                <w:rFonts w:asciiTheme="minorHAnsi" w:eastAsia="仿宋_GB2312" w:hAnsiTheme="minorHAnsi" w:cstheme="minorBidi"/>
                <w:color w:val="000000"/>
                <w:sz w:val="32"/>
                <w:szCs w:val="32"/>
              </w:rPr>
            </w:pPr>
          </w:p>
        </w:tc>
      </w:tr>
    </w:tbl>
    <w:p w:rsidR="00AC2D19" w:rsidRDefault="003774A3">
      <w:pPr>
        <w:spacing w:line="560" w:lineRule="exact"/>
        <w:rPr>
          <w:rFonts w:ascii="黑体" w:eastAsia="黑体" w:hAnsi="黑体" w:cstheme="minorBidi"/>
          <w:color w:val="000000"/>
          <w:sz w:val="32"/>
          <w:szCs w:val="32"/>
        </w:rPr>
      </w:pPr>
      <w:r>
        <w:rPr>
          <w:rFonts w:ascii="黑体" w:eastAsia="黑体" w:hAnsi="黑体" w:cstheme="minorBidi"/>
          <w:color w:val="000000"/>
          <w:sz w:val="32"/>
          <w:szCs w:val="32"/>
        </w:rPr>
        <w:lastRenderedPageBreak/>
        <w:t>附件</w:t>
      </w:r>
      <w:r>
        <w:rPr>
          <w:rFonts w:ascii="黑体" w:eastAsia="黑体" w:hAnsi="黑体" w:cstheme="minorBidi"/>
          <w:color w:val="000000"/>
          <w:sz w:val="32"/>
          <w:szCs w:val="32"/>
        </w:rPr>
        <w:t>5</w:t>
      </w:r>
      <w:r>
        <w:rPr>
          <w:rFonts w:ascii="黑体" w:eastAsia="黑体" w:hAnsi="黑体" w:cstheme="minorBidi" w:hint="eastAsia"/>
          <w:color w:val="000000"/>
          <w:sz w:val="32"/>
          <w:szCs w:val="32"/>
        </w:rPr>
        <w:t>：</w:t>
      </w:r>
    </w:p>
    <w:p w:rsidR="00AC2D19" w:rsidRDefault="00AC2D19">
      <w:pPr>
        <w:spacing w:line="300" w:lineRule="exact"/>
        <w:rPr>
          <w:rFonts w:asciiTheme="minorHAnsi" w:eastAsia="仿宋_GB2312" w:hAnsiTheme="minorHAnsi" w:cstheme="minorBidi"/>
          <w:color w:val="000000"/>
          <w:sz w:val="32"/>
          <w:szCs w:val="32"/>
        </w:rPr>
      </w:pPr>
    </w:p>
    <w:p w:rsidR="00AC2D19" w:rsidRDefault="003774A3">
      <w:pPr>
        <w:spacing w:line="560" w:lineRule="exact"/>
        <w:jc w:val="center"/>
        <w:rPr>
          <w:rFonts w:ascii="方正小标宋简体" w:eastAsia="方正小标宋简体" w:hAnsi="华文中宋" w:cstheme="minorBidi"/>
          <w:color w:val="000000"/>
          <w:sz w:val="44"/>
          <w:szCs w:val="44"/>
        </w:rPr>
      </w:pPr>
      <w:r>
        <w:rPr>
          <w:rFonts w:ascii="方正小标宋简体" w:eastAsia="方正小标宋简体" w:hAnsi="华文中宋" w:cstheme="minorBidi" w:hint="eastAsia"/>
          <w:color w:val="000000"/>
          <w:sz w:val="44"/>
          <w:szCs w:val="44"/>
        </w:rPr>
        <w:t>可行性研究报告</w:t>
      </w:r>
    </w:p>
    <w:p w:rsidR="00AC2D19" w:rsidRDefault="003774A3">
      <w:pPr>
        <w:spacing w:line="560" w:lineRule="exact"/>
        <w:jc w:val="center"/>
        <w:rPr>
          <w:rFonts w:ascii="楷体" w:eastAsia="楷体" w:hAnsi="楷体" w:cstheme="minorBidi"/>
          <w:color w:val="000000"/>
          <w:sz w:val="32"/>
          <w:szCs w:val="32"/>
        </w:rPr>
      </w:pPr>
      <w:r>
        <w:rPr>
          <w:rFonts w:ascii="楷体" w:eastAsia="楷体" w:hAnsi="楷体" w:cstheme="minorBidi"/>
          <w:color w:val="000000"/>
          <w:sz w:val="32"/>
          <w:szCs w:val="32"/>
        </w:rPr>
        <w:t>（编写提纲）</w:t>
      </w:r>
    </w:p>
    <w:p w:rsidR="00AC2D19" w:rsidRDefault="00AC2D19">
      <w:pPr>
        <w:spacing w:line="560" w:lineRule="exact"/>
        <w:ind w:left="640"/>
        <w:rPr>
          <w:rFonts w:asciiTheme="minorHAnsi" w:eastAsia="仿宋_GB2312" w:hAnsiTheme="minorHAnsi" w:cstheme="minorBidi"/>
          <w:color w:val="000000"/>
          <w:sz w:val="32"/>
          <w:szCs w:val="32"/>
        </w:rPr>
      </w:pPr>
    </w:p>
    <w:p w:rsidR="00AC2D19" w:rsidRDefault="003774A3">
      <w:pPr>
        <w:spacing w:line="560" w:lineRule="exact"/>
        <w:ind w:firstLineChars="200" w:firstLine="640"/>
        <w:rPr>
          <w:rFonts w:ascii="黑体" w:eastAsia="黑体" w:hAnsi="黑体" w:cstheme="minorBidi"/>
          <w:bCs/>
          <w:color w:val="000000"/>
          <w:sz w:val="32"/>
          <w:szCs w:val="32"/>
        </w:rPr>
      </w:pPr>
      <w:r>
        <w:rPr>
          <w:rFonts w:ascii="黑体" w:eastAsia="黑体" w:hAnsi="黑体" w:cstheme="minorBidi"/>
          <w:bCs/>
          <w:color w:val="000000"/>
          <w:sz w:val="32"/>
          <w:szCs w:val="32"/>
        </w:rPr>
        <w:t>一、基本情况</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楷体_GB2312" w:eastAsia="楷体_GB2312" w:hAnsiTheme="minorHAnsi" w:cstheme="minorBidi" w:hint="eastAsia"/>
          <w:color w:val="000000"/>
          <w:sz w:val="32"/>
          <w:szCs w:val="32"/>
        </w:rPr>
        <w:t>（一）单位基本情况：</w:t>
      </w:r>
      <w:r>
        <w:rPr>
          <w:rFonts w:asciiTheme="minorHAnsi" w:eastAsia="仿宋_GB2312" w:hAnsiTheme="minorHAnsi" w:cstheme="minorBidi"/>
          <w:color w:val="000000"/>
          <w:sz w:val="32"/>
          <w:szCs w:val="32"/>
        </w:rPr>
        <w:t>申报单位名称、地址及邮编、联系电话、法人代表姓名、人员、资产规模、财务收支、上级单位及所隶属的主管部门名称等情况。</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可行性研究报告编制单位的基本情况：单位名称、地址及邮编、联系电话、法人代表姓名、资质等级等。</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Theme="minorHAnsi" w:eastAsia="仿宋_GB2312" w:hAnsiTheme="minorHAnsi" w:cstheme="minorBidi"/>
          <w:color w:val="000000"/>
          <w:sz w:val="32"/>
          <w:szCs w:val="32"/>
        </w:rPr>
        <w:t>参与管理</w:t>
      </w:r>
      <w:r>
        <w:rPr>
          <w:rFonts w:asciiTheme="minorHAnsi" w:eastAsia="仿宋_GB2312" w:hAnsiTheme="minorHAnsi" w:cstheme="minorBidi" w:hint="eastAsia"/>
          <w:color w:val="000000"/>
          <w:sz w:val="32"/>
          <w:szCs w:val="32"/>
        </w:rPr>
        <w:t>区级</w:t>
      </w:r>
      <w:r>
        <w:rPr>
          <w:rFonts w:asciiTheme="minorHAnsi" w:eastAsia="仿宋_GB2312" w:hAnsiTheme="minorHAnsi" w:cstheme="minorBidi"/>
          <w:color w:val="000000"/>
          <w:sz w:val="32"/>
          <w:szCs w:val="32"/>
        </w:rPr>
        <w:t>专项资金的单位基本情况：单位名称、地址及邮编、联系电话、法人代表姓名等。</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楷体_GB2312" w:eastAsia="楷体_GB2312" w:hAnsiTheme="minorHAnsi" w:cstheme="minorBidi" w:hint="eastAsia"/>
          <w:color w:val="000000"/>
          <w:sz w:val="32"/>
          <w:szCs w:val="32"/>
        </w:rPr>
        <w:t>（二）区级专项资金申报负责人基本情况</w:t>
      </w:r>
      <w:r>
        <w:rPr>
          <w:rFonts w:asciiTheme="minorHAnsi" w:eastAsia="仿宋_GB2312" w:hAnsiTheme="minorHAnsi" w:cstheme="minorBidi"/>
          <w:color w:val="000000"/>
          <w:sz w:val="32"/>
          <w:szCs w:val="32"/>
        </w:rPr>
        <w:t>：姓名、性别、职务、职称、专业、联系电话、与专项资金相关的主要情况。</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楷体_GB2312" w:eastAsia="楷体_GB2312" w:hAnsiTheme="minorHAnsi" w:cstheme="minorBidi" w:hint="eastAsia"/>
          <w:color w:val="000000"/>
          <w:sz w:val="32"/>
          <w:szCs w:val="32"/>
        </w:rPr>
        <w:t>（三）区级专项资金基本情况：</w:t>
      </w:r>
      <w:r>
        <w:rPr>
          <w:rFonts w:asciiTheme="minorHAnsi" w:eastAsia="仿宋_GB2312" w:hAnsiTheme="minorHAnsi" w:cstheme="minorBidi"/>
          <w:color w:val="000000"/>
          <w:sz w:val="32"/>
          <w:szCs w:val="32"/>
        </w:rPr>
        <w:t>名称、性质、使用单位及范围、主要工作内容、预期总目标及阶段性目标情况；绩效目标；总投入情况（包括人、财、物等方面）。</w:t>
      </w:r>
    </w:p>
    <w:p w:rsidR="00AC2D19" w:rsidRDefault="003774A3">
      <w:pPr>
        <w:spacing w:line="560" w:lineRule="exact"/>
        <w:ind w:firstLineChars="200" w:firstLine="640"/>
        <w:rPr>
          <w:rFonts w:ascii="黑体" w:eastAsia="黑体" w:hAnsi="黑体" w:cstheme="minorBidi"/>
          <w:bCs/>
          <w:color w:val="000000"/>
          <w:sz w:val="32"/>
          <w:szCs w:val="32"/>
        </w:rPr>
      </w:pPr>
      <w:r>
        <w:rPr>
          <w:rFonts w:ascii="黑体" w:eastAsia="黑体" w:hAnsi="黑体" w:cstheme="minorBidi"/>
          <w:bCs/>
          <w:color w:val="000000"/>
          <w:sz w:val="32"/>
          <w:szCs w:val="32"/>
        </w:rPr>
        <w:t>二、必要性与可行性</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楷体_GB2312" w:eastAsia="楷体_GB2312" w:hAnsiTheme="minorHAnsi" w:cstheme="minorBidi" w:hint="eastAsia"/>
          <w:color w:val="000000"/>
          <w:sz w:val="32"/>
          <w:szCs w:val="32"/>
        </w:rPr>
        <w:t>（一）区级专项资金设立或变更背景情况。</w:t>
      </w:r>
      <w:r>
        <w:rPr>
          <w:rFonts w:asciiTheme="minorHAnsi" w:eastAsia="仿宋_GB2312" w:hAnsiTheme="minorHAnsi" w:cstheme="minorBidi"/>
          <w:color w:val="000000"/>
          <w:sz w:val="32"/>
          <w:szCs w:val="32"/>
        </w:rPr>
        <w:t>使用收益范围分析；需求分析；是否符合国家、省、市和区的政策，是否属于国家、省、市和区政策优先支持的领域和范围。</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楷体_GB2312" w:eastAsia="楷体_GB2312" w:hAnsiTheme="minorHAnsi" w:cstheme="minorBidi" w:hint="eastAsia"/>
          <w:color w:val="000000"/>
          <w:sz w:val="32"/>
          <w:szCs w:val="32"/>
        </w:rPr>
        <w:t>（二）区级专项资金设立或变更的必要性。</w:t>
      </w:r>
      <w:r>
        <w:rPr>
          <w:rFonts w:asciiTheme="minorHAnsi" w:eastAsia="仿宋_GB2312" w:hAnsiTheme="minorHAnsi" w:cstheme="minorBidi"/>
          <w:color w:val="000000"/>
          <w:sz w:val="32"/>
          <w:szCs w:val="32"/>
        </w:rPr>
        <w:t>设立或变更对促进事业发展或完成行政事业性工作任务的意义与作用。</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楷体_GB2312" w:eastAsia="楷体_GB2312" w:hAnsiTheme="minorHAnsi" w:cstheme="minorBidi" w:hint="eastAsia"/>
          <w:color w:val="000000"/>
          <w:sz w:val="32"/>
          <w:szCs w:val="32"/>
        </w:rPr>
        <w:lastRenderedPageBreak/>
        <w:t>（三）区级专项资金设立或变更的可行性。</w:t>
      </w:r>
      <w:r>
        <w:rPr>
          <w:rFonts w:asciiTheme="minorHAnsi" w:eastAsia="仿宋_GB2312" w:hAnsiTheme="minorHAnsi" w:cstheme="minorBidi" w:hint="eastAsia"/>
          <w:color w:val="000000"/>
          <w:sz w:val="32"/>
          <w:szCs w:val="32"/>
        </w:rPr>
        <w:t>区级</w:t>
      </w:r>
      <w:r>
        <w:rPr>
          <w:rFonts w:asciiTheme="minorHAnsi" w:eastAsia="仿宋_GB2312" w:hAnsiTheme="minorHAnsi" w:cstheme="minorBidi"/>
          <w:color w:val="000000"/>
          <w:sz w:val="32"/>
          <w:szCs w:val="32"/>
        </w:rPr>
        <w:t>专项资金安排的主要工作思路与设想；</w:t>
      </w:r>
      <w:r>
        <w:rPr>
          <w:rFonts w:asciiTheme="minorHAnsi" w:eastAsia="仿宋_GB2312" w:hAnsiTheme="minorHAnsi" w:cstheme="minorBidi" w:hint="eastAsia"/>
          <w:color w:val="000000"/>
          <w:sz w:val="32"/>
          <w:szCs w:val="32"/>
        </w:rPr>
        <w:t>区级</w:t>
      </w:r>
      <w:r>
        <w:rPr>
          <w:rFonts w:asciiTheme="minorHAnsi" w:eastAsia="仿宋_GB2312" w:hAnsiTheme="minorHAnsi" w:cstheme="minorBidi"/>
          <w:color w:val="000000"/>
          <w:sz w:val="32"/>
          <w:szCs w:val="32"/>
        </w:rPr>
        <w:t>专项资金预算的合理性及可靠性分析；</w:t>
      </w:r>
      <w:r>
        <w:rPr>
          <w:rFonts w:asciiTheme="minorHAnsi" w:eastAsia="仿宋_GB2312" w:hAnsiTheme="minorHAnsi" w:cstheme="minorBidi" w:hint="eastAsia"/>
          <w:color w:val="000000"/>
          <w:sz w:val="32"/>
          <w:szCs w:val="32"/>
        </w:rPr>
        <w:t>区级</w:t>
      </w:r>
      <w:r>
        <w:rPr>
          <w:rFonts w:asciiTheme="minorHAnsi" w:eastAsia="仿宋_GB2312" w:hAnsiTheme="minorHAnsi" w:cstheme="minorBidi"/>
          <w:color w:val="000000"/>
          <w:sz w:val="32"/>
          <w:szCs w:val="32"/>
        </w:rPr>
        <w:t>专项</w:t>
      </w:r>
      <w:r>
        <w:rPr>
          <w:rFonts w:asciiTheme="minorHAnsi" w:eastAsia="仿宋_GB2312" w:hAnsiTheme="minorHAnsi" w:cstheme="minorBidi"/>
          <w:color w:val="000000"/>
          <w:sz w:val="32"/>
          <w:szCs w:val="32"/>
        </w:rPr>
        <w:t>资金绩效目标分析，包括绩效指标分析；与同类项目的对比分析；</w:t>
      </w:r>
      <w:r>
        <w:rPr>
          <w:rFonts w:asciiTheme="minorHAnsi" w:eastAsia="仿宋_GB2312" w:hAnsiTheme="minorHAnsi" w:cstheme="minorBidi" w:hint="eastAsia"/>
          <w:color w:val="000000"/>
          <w:sz w:val="32"/>
          <w:szCs w:val="32"/>
        </w:rPr>
        <w:t>区级</w:t>
      </w:r>
      <w:r>
        <w:rPr>
          <w:rFonts w:asciiTheme="minorHAnsi" w:eastAsia="仿宋_GB2312" w:hAnsiTheme="minorHAnsi" w:cstheme="minorBidi"/>
          <w:color w:val="000000"/>
          <w:sz w:val="32"/>
          <w:szCs w:val="32"/>
        </w:rPr>
        <w:t>专项资金预期绩效目标的持久性分析。</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楷体_GB2312" w:eastAsia="楷体_GB2312" w:hAnsiTheme="minorHAnsi" w:cstheme="minorBidi" w:hint="eastAsia"/>
          <w:color w:val="000000"/>
          <w:sz w:val="32"/>
          <w:szCs w:val="32"/>
        </w:rPr>
        <w:t>（四）区级专项资金实施风险与不确定性。</w:t>
      </w:r>
      <w:r>
        <w:rPr>
          <w:rFonts w:asciiTheme="minorHAnsi" w:eastAsia="仿宋_GB2312" w:hAnsiTheme="minorHAnsi" w:cstheme="minorBidi"/>
          <w:color w:val="000000"/>
          <w:sz w:val="32"/>
          <w:szCs w:val="32"/>
        </w:rPr>
        <w:t>实施存在的主要风险与不确定分析；对风险的应对措施分析。</w:t>
      </w:r>
    </w:p>
    <w:p w:rsidR="00AC2D19" w:rsidRDefault="003774A3">
      <w:pPr>
        <w:spacing w:line="560" w:lineRule="exact"/>
        <w:ind w:firstLineChars="200" w:firstLine="640"/>
        <w:rPr>
          <w:rFonts w:ascii="黑体" w:eastAsia="黑体" w:hAnsi="黑体" w:cstheme="minorBidi"/>
          <w:bCs/>
          <w:color w:val="000000"/>
          <w:sz w:val="32"/>
          <w:szCs w:val="32"/>
        </w:rPr>
      </w:pPr>
      <w:r>
        <w:rPr>
          <w:rFonts w:ascii="黑体" w:eastAsia="黑体" w:hAnsi="黑体" w:cstheme="minorBidi"/>
          <w:bCs/>
          <w:color w:val="000000"/>
          <w:sz w:val="32"/>
          <w:szCs w:val="32"/>
        </w:rPr>
        <w:t>三、实施条件</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楷体_GB2312" w:eastAsia="楷体_GB2312" w:hAnsiTheme="minorHAnsi" w:cstheme="minorBidi" w:hint="eastAsia"/>
          <w:color w:val="000000"/>
          <w:sz w:val="32"/>
          <w:szCs w:val="32"/>
        </w:rPr>
        <w:t>（一）人员条件。</w:t>
      </w:r>
      <w:r>
        <w:rPr>
          <w:rFonts w:asciiTheme="minorHAnsi" w:eastAsia="仿宋_GB2312" w:hAnsiTheme="minorHAnsi" w:cstheme="minorBidi" w:hint="eastAsia"/>
          <w:color w:val="000000"/>
          <w:sz w:val="32"/>
          <w:szCs w:val="32"/>
        </w:rPr>
        <w:t>区级</w:t>
      </w:r>
      <w:r>
        <w:rPr>
          <w:rFonts w:asciiTheme="minorHAnsi" w:eastAsia="仿宋_GB2312" w:hAnsiTheme="minorHAnsi" w:cstheme="minorBidi"/>
          <w:color w:val="000000"/>
          <w:sz w:val="32"/>
          <w:szCs w:val="32"/>
        </w:rPr>
        <w:t>专项资金协管部门及负责人的组织管理能力；主要使用单位及参加人员的姓名、性别、职务、职称、专业、对使用范围的熟识情况。</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楷体_GB2312" w:eastAsia="楷体_GB2312" w:hAnsiTheme="minorHAnsi" w:cstheme="minorBidi" w:hint="eastAsia"/>
          <w:color w:val="000000"/>
          <w:sz w:val="32"/>
          <w:szCs w:val="32"/>
        </w:rPr>
        <w:t>（二）资金条件。</w:t>
      </w:r>
      <w:r>
        <w:rPr>
          <w:rFonts w:asciiTheme="minorHAnsi" w:eastAsia="仿宋_GB2312" w:hAnsiTheme="minorHAnsi" w:cstheme="minorBidi" w:hint="eastAsia"/>
          <w:color w:val="000000"/>
          <w:sz w:val="32"/>
          <w:szCs w:val="32"/>
        </w:rPr>
        <w:t>区级</w:t>
      </w:r>
      <w:r>
        <w:rPr>
          <w:rFonts w:asciiTheme="minorHAnsi" w:eastAsia="仿宋_GB2312" w:hAnsiTheme="minorHAnsi" w:cstheme="minorBidi"/>
          <w:color w:val="000000"/>
          <w:sz w:val="32"/>
          <w:szCs w:val="32"/>
        </w:rPr>
        <w:t>专项资金投入总额及投入计划；对财政预算资金的需求额；其他渠道资金的来源及其落实情况；</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楷体_GB2312" w:eastAsia="楷体_GB2312" w:hAnsiTheme="minorHAnsi" w:cstheme="minorBidi" w:hint="eastAsia"/>
          <w:color w:val="000000"/>
          <w:sz w:val="32"/>
          <w:szCs w:val="32"/>
        </w:rPr>
        <w:t>（三）基础条件。</w:t>
      </w:r>
      <w:r>
        <w:rPr>
          <w:rFonts w:asciiTheme="minorHAnsi" w:eastAsia="仿宋_GB2312" w:hAnsiTheme="minorHAnsi" w:cstheme="minorBidi" w:hint="eastAsia"/>
          <w:color w:val="000000"/>
          <w:sz w:val="32"/>
          <w:szCs w:val="32"/>
        </w:rPr>
        <w:t>区级</w:t>
      </w:r>
      <w:r>
        <w:rPr>
          <w:rFonts w:asciiTheme="minorHAnsi" w:eastAsia="仿宋_GB2312" w:hAnsiTheme="minorHAnsi" w:cstheme="minorBidi"/>
          <w:color w:val="000000"/>
          <w:sz w:val="32"/>
          <w:szCs w:val="32"/>
        </w:rPr>
        <w:t>专项资金协管部门，使用单位及合作单位完成目</w:t>
      </w:r>
      <w:r>
        <w:rPr>
          <w:rFonts w:asciiTheme="minorHAnsi" w:eastAsia="仿宋_GB2312" w:hAnsiTheme="minorHAnsi" w:cstheme="minorBidi"/>
          <w:color w:val="000000"/>
          <w:sz w:val="32"/>
          <w:szCs w:val="32"/>
        </w:rPr>
        <w:t>标已经具备的基础条件（重点说明使用单位及合作单位具备的设施条件，需要增加的关键设施）。</w:t>
      </w:r>
    </w:p>
    <w:p w:rsidR="00AC2D19" w:rsidRDefault="003774A3">
      <w:pPr>
        <w:spacing w:line="560" w:lineRule="exact"/>
        <w:ind w:firstLineChars="200" w:firstLine="640"/>
        <w:rPr>
          <w:rFonts w:ascii="楷体_GB2312" w:eastAsia="楷体_GB2312" w:hAnsiTheme="minorHAnsi" w:cstheme="minorBidi"/>
          <w:color w:val="000000"/>
          <w:sz w:val="32"/>
          <w:szCs w:val="32"/>
        </w:rPr>
      </w:pPr>
      <w:r>
        <w:rPr>
          <w:rFonts w:ascii="楷体_GB2312" w:eastAsia="楷体_GB2312" w:hAnsiTheme="minorHAnsi" w:cstheme="minorBidi" w:hint="eastAsia"/>
          <w:color w:val="000000"/>
          <w:sz w:val="32"/>
          <w:szCs w:val="32"/>
        </w:rPr>
        <w:t>（四）其他相关条件。</w:t>
      </w:r>
    </w:p>
    <w:p w:rsidR="00AC2D19" w:rsidRDefault="003774A3">
      <w:pPr>
        <w:spacing w:line="560" w:lineRule="exact"/>
        <w:ind w:firstLineChars="200" w:firstLine="640"/>
        <w:rPr>
          <w:rFonts w:ascii="黑体" w:eastAsia="黑体" w:hAnsi="黑体" w:cstheme="minorBidi"/>
          <w:bCs/>
          <w:color w:val="000000"/>
          <w:sz w:val="32"/>
          <w:szCs w:val="32"/>
        </w:rPr>
      </w:pPr>
      <w:r>
        <w:rPr>
          <w:rFonts w:ascii="黑体" w:eastAsia="黑体" w:hAnsi="黑体" w:cstheme="minorBidi"/>
          <w:bCs/>
          <w:color w:val="000000"/>
          <w:sz w:val="32"/>
          <w:szCs w:val="32"/>
        </w:rPr>
        <w:t>四、进度与计划安排</w:t>
      </w:r>
    </w:p>
    <w:p w:rsidR="00AC2D19" w:rsidRDefault="003774A3">
      <w:pPr>
        <w:spacing w:line="560" w:lineRule="exact"/>
        <w:ind w:firstLineChars="200" w:firstLine="640"/>
        <w:rPr>
          <w:rFonts w:asciiTheme="minorHAnsi" w:eastAsia="仿宋_GB2312" w:hAnsiTheme="minorHAnsi" w:cstheme="minorBidi"/>
          <w:color w:val="000000"/>
          <w:sz w:val="32"/>
          <w:szCs w:val="32"/>
        </w:rPr>
      </w:pPr>
      <w:r>
        <w:rPr>
          <w:rFonts w:asciiTheme="minorHAnsi" w:eastAsia="仿宋_GB2312" w:hAnsiTheme="minorHAnsi" w:cstheme="minorBidi" w:hint="eastAsia"/>
          <w:color w:val="000000"/>
          <w:sz w:val="32"/>
          <w:szCs w:val="32"/>
        </w:rPr>
        <w:t>区级</w:t>
      </w:r>
      <w:r>
        <w:rPr>
          <w:rFonts w:asciiTheme="minorHAnsi" w:eastAsia="仿宋_GB2312" w:hAnsiTheme="minorHAnsi" w:cstheme="minorBidi"/>
          <w:color w:val="000000"/>
          <w:sz w:val="32"/>
          <w:szCs w:val="32"/>
        </w:rPr>
        <w:t>专项资金使用的阶段性目标情况，分阶段实施进度与计划安排情况。</w:t>
      </w:r>
    </w:p>
    <w:p w:rsidR="00AC2D19" w:rsidRDefault="003774A3">
      <w:pPr>
        <w:spacing w:line="560" w:lineRule="exact"/>
        <w:ind w:firstLineChars="200" w:firstLine="640"/>
        <w:rPr>
          <w:rFonts w:ascii="黑体" w:eastAsia="黑体" w:hAnsi="黑体" w:cstheme="minorBidi"/>
          <w:bCs/>
          <w:color w:val="000000"/>
          <w:sz w:val="32"/>
          <w:szCs w:val="32"/>
        </w:rPr>
      </w:pPr>
      <w:r>
        <w:rPr>
          <w:rFonts w:ascii="黑体" w:eastAsia="黑体" w:hAnsi="黑体" w:cstheme="minorBidi"/>
          <w:bCs/>
          <w:color w:val="000000"/>
          <w:sz w:val="32"/>
          <w:szCs w:val="32"/>
        </w:rPr>
        <w:t>五、主要结论</w:t>
      </w:r>
    </w:p>
    <w:p w:rsidR="00AC2D19" w:rsidRDefault="003774A3">
      <w:pPr>
        <w:spacing w:line="560" w:lineRule="exact"/>
        <w:rPr>
          <w:rFonts w:ascii="黑体" w:eastAsia="黑体" w:hAnsi="黑体" w:cstheme="minorBidi"/>
          <w:color w:val="000000"/>
          <w:sz w:val="32"/>
          <w:szCs w:val="32"/>
        </w:rPr>
      </w:pPr>
      <w:r>
        <w:rPr>
          <w:rFonts w:asciiTheme="minorHAnsi" w:eastAsia="仿宋_GB2312" w:hAnsiTheme="minorHAnsi" w:cstheme="minorBidi"/>
          <w:color w:val="000000"/>
          <w:sz w:val="32"/>
          <w:szCs w:val="32"/>
        </w:rPr>
        <w:br w:type="page"/>
      </w:r>
      <w:r>
        <w:rPr>
          <w:rFonts w:ascii="黑体" w:eastAsia="黑体" w:hAnsi="黑体" w:cstheme="minorBidi"/>
          <w:color w:val="000000"/>
          <w:sz w:val="32"/>
          <w:szCs w:val="32"/>
        </w:rPr>
        <w:lastRenderedPageBreak/>
        <w:t>附件</w:t>
      </w:r>
      <w:r>
        <w:rPr>
          <w:rFonts w:ascii="黑体" w:eastAsia="黑体" w:hAnsi="黑体" w:cstheme="minorBidi"/>
          <w:color w:val="000000"/>
          <w:sz w:val="32"/>
          <w:szCs w:val="32"/>
        </w:rPr>
        <w:t>6</w:t>
      </w:r>
      <w:r>
        <w:rPr>
          <w:rFonts w:ascii="黑体" w:eastAsia="黑体" w:hAnsi="黑体" w:cstheme="minorBidi" w:hint="eastAsia"/>
          <w:color w:val="000000"/>
          <w:sz w:val="32"/>
          <w:szCs w:val="32"/>
        </w:rPr>
        <w:t>：</w:t>
      </w:r>
    </w:p>
    <w:p w:rsidR="00AC2D19" w:rsidRDefault="00AC2D19">
      <w:pPr>
        <w:spacing w:line="560" w:lineRule="exact"/>
        <w:rPr>
          <w:rFonts w:ascii="黑体" w:eastAsia="黑体" w:hAnsi="黑体" w:cstheme="minorBidi"/>
          <w:color w:val="000000"/>
          <w:sz w:val="32"/>
          <w:szCs w:val="32"/>
        </w:rPr>
      </w:pPr>
    </w:p>
    <w:p w:rsidR="00AC2D19" w:rsidRDefault="00AC2D19">
      <w:pPr>
        <w:rPr>
          <w:rFonts w:asciiTheme="minorHAnsi" w:eastAsiaTheme="minorEastAsia" w:hAnsiTheme="minorHAnsi" w:cstheme="minorBidi"/>
          <w:szCs w:val="22"/>
        </w:rPr>
      </w:pPr>
    </w:p>
    <w:tbl>
      <w:tblPr>
        <w:tblW w:w="10101" w:type="dxa"/>
        <w:tblInd w:w="-184" w:type="dxa"/>
        <w:tblLook w:val="04A0" w:firstRow="1" w:lastRow="0" w:firstColumn="1" w:lastColumn="0" w:noHBand="0" w:noVBand="1"/>
      </w:tblPr>
      <w:tblGrid>
        <w:gridCol w:w="299"/>
        <w:gridCol w:w="497"/>
        <w:gridCol w:w="1413"/>
        <w:gridCol w:w="1271"/>
        <w:gridCol w:w="1270"/>
        <w:gridCol w:w="988"/>
        <w:gridCol w:w="845"/>
        <w:gridCol w:w="846"/>
        <w:gridCol w:w="987"/>
        <w:gridCol w:w="704"/>
        <w:gridCol w:w="703"/>
        <w:gridCol w:w="278"/>
      </w:tblGrid>
      <w:tr w:rsidR="00AC2D19">
        <w:trPr>
          <w:trHeight w:val="645"/>
        </w:trPr>
        <w:tc>
          <w:tcPr>
            <w:tcW w:w="10101" w:type="dxa"/>
            <w:gridSpan w:val="12"/>
            <w:tcBorders>
              <w:top w:val="nil"/>
              <w:left w:val="nil"/>
              <w:bottom w:val="nil"/>
              <w:right w:val="nil"/>
            </w:tcBorders>
            <w:shd w:val="clear" w:color="auto" w:fill="auto"/>
            <w:noWrap/>
            <w:vAlign w:val="center"/>
          </w:tcPr>
          <w:p w:rsidR="00AC2D19" w:rsidRDefault="003774A3">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区级财政专项资金任务清单（样表）</w:t>
            </w:r>
          </w:p>
        </w:tc>
      </w:tr>
      <w:tr w:rsidR="00AC2D19">
        <w:trPr>
          <w:gridBefore w:val="1"/>
          <w:gridAfter w:val="1"/>
          <w:wBefore w:w="299" w:type="dxa"/>
          <w:wAfter w:w="278" w:type="dxa"/>
          <w:trHeight w:val="270"/>
        </w:trPr>
        <w:tc>
          <w:tcPr>
            <w:tcW w:w="497" w:type="dxa"/>
            <w:tcBorders>
              <w:top w:val="nil"/>
              <w:left w:val="nil"/>
              <w:bottom w:val="nil"/>
              <w:right w:val="nil"/>
            </w:tcBorders>
            <w:shd w:val="clear" w:color="auto" w:fill="auto"/>
            <w:noWrap/>
            <w:vAlign w:val="bottom"/>
          </w:tcPr>
          <w:p w:rsidR="00AC2D19" w:rsidRDefault="00AC2D19">
            <w:pPr>
              <w:widowControl/>
              <w:jc w:val="center"/>
              <w:rPr>
                <w:rFonts w:ascii="宋体" w:hAnsi="宋体" w:cs="宋体"/>
                <w:b/>
                <w:bCs/>
                <w:color w:val="000000"/>
                <w:kern w:val="0"/>
                <w:sz w:val="36"/>
                <w:szCs w:val="36"/>
              </w:rPr>
            </w:pPr>
          </w:p>
        </w:tc>
        <w:tc>
          <w:tcPr>
            <w:tcW w:w="1413"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1271"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1270"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988"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845"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846"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987"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704"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c>
          <w:tcPr>
            <w:tcW w:w="703" w:type="dxa"/>
            <w:tcBorders>
              <w:top w:val="nil"/>
              <w:left w:val="nil"/>
              <w:bottom w:val="nil"/>
              <w:right w:val="nil"/>
            </w:tcBorders>
            <w:shd w:val="clear" w:color="auto" w:fill="auto"/>
            <w:noWrap/>
            <w:vAlign w:val="bottom"/>
          </w:tcPr>
          <w:p w:rsidR="00AC2D19" w:rsidRDefault="00AC2D19">
            <w:pPr>
              <w:widowControl/>
              <w:jc w:val="left"/>
              <w:rPr>
                <w:rFonts w:eastAsia="Times New Roman"/>
                <w:kern w:val="0"/>
                <w:sz w:val="20"/>
              </w:rPr>
            </w:pPr>
          </w:p>
        </w:tc>
      </w:tr>
      <w:tr w:rsidR="00AC2D19">
        <w:trPr>
          <w:gridBefore w:val="1"/>
          <w:gridAfter w:val="1"/>
          <w:wBefore w:w="299" w:type="dxa"/>
          <w:wAfter w:w="278" w:type="dxa"/>
          <w:trHeight w:val="765"/>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D19" w:rsidRDefault="003774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1413" w:type="dxa"/>
            <w:tcBorders>
              <w:top w:val="single" w:sz="4" w:space="0" w:color="auto"/>
              <w:left w:val="nil"/>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一级项目</w:t>
            </w:r>
            <w:r>
              <w:rPr>
                <w:rFonts w:ascii="宋体" w:hAnsi="宋体" w:cs="宋体" w:hint="eastAsia"/>
                <w:b/>
                <w:bCs/>
                <w:color w:val="000000"/>
                <w:kern w:val="0"/>
                <w:sz w:val="22"/>
                <w:szCs w:val="22"/>
              </w:rPr>
              <w:br/>
            </w:r>
            <w:r>
              <w:rPr>
                <w:rFonts w:ascii="宋体" w:hAnsi="宋体" w:cs="宋体" w:hint="eastAsia"/>
                <w:b/>
                <w:bCs/>
                <w:color w:val="000000"/>
                <w:kern w:val="0"/>
                <w:sz w:val="22"/>
                <w:szCs w:val="22"/>
              </w:rPr>
              <w:t>名称</w:t>
            </w:r>
          </w:p>
        </w:tc>
        <w:tc>
          <w:tcPr>
            <w:tcW w:w="1271" w:type="dxa"/>
            <w:tcBorders>
              <w:top w:val="single" w:sz="4" w:space="0" w:color="auto"/>
              <w:left w:val="nil"/>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二级项目</w:t>
            </w:r>
            <w:r>
              <w:rPr>
                <w:rFonts w:ascii="宋体" w:hAnsi="宋体" w:cs="宋体" w:hint="eastAsia"/>
                <w:b/>
                <w:bCs/>
                <w:color w:val="000000"/>
                <w:kern w:val="0"/>
                <w:sz w:val="22"/>
                <w:szCs w:val="22"/>
              </w:rPr>
              <w:br/>
            </w:r>
            <w:r>
              <w:rPr>
                <w:rFonts w:ascii="宋体" w:hAnsi="宋体" w:cs="宋体" w:hint="eastAsia"/>
                <w:b/>
                <w:bCs/>
                <w:color w:val="000000"/>
                <w:kern w:val="0"/>
                <w:sz w:val="22"/>
                <w:szCs w:val="22"/>
              </w:rPr>
              <w:t>名称</w:t>
            </w:r>
          </w:p>
        </w:tc>
        <w:tc>
          <w:tcPr>
            <w:tcW w:w="1270" w:type="dxa"/>
            <w:tcBorders>
              <w:top w:val="single" w:sz="4" w:space="0" w:color="auto"/>
              <w:left w:val="nil"/>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任务</w:t>
            </w:r>
            <w:r>
              <w:rPr>
                <w:rFonts w:ascii="宋体" w:hAnsi="宋体" w:cs="宋体" w:hint="eastAsia"/>
                <w:b/>
                <w:bCs/>
                <w:color w:val="000000"/>
                <w:kern w:val="0"/>
                <w:sz w:val="22"/>
                <w:szCs w:val="22"/>
              </w:rPr>
              <w:br/>
            </w:r>
            <w:r>
              <w:rPr>
                <w:rFonts w:ascii="宋体" w:hAnsi="宋体" w:cs="宋体" w:hint="eastAsia"/>
                <w:b/>
                <w:bCs/>
                <w:color w:val="000000"/>
                <w:kern w:val="0"/>
                <w:sz w:val="22"/>
                <w:szCs w:val="22"/>
              </w:rPr>
              <w:t>要求</w:t>
            </w:r>
            <w:r>
              <w:rPr>
                <w:rFonts w:ascii="宋体" w:hAnsi="宋体" w:cs="宋体" w:hint="eastAsia"/>
                <w:b/>
                <w:bCs/>
                <w:color w:val="000000"/>
                <w:kern w:val="0"/>
                <w:sz w:val="22"/>
                <w:szCs w:val="22"/>
              </w:rPr>
              <w:t>/</w:t>
            </w:r>
            <w:r>
              <w:rPr>
                <w:rFonts w:ascii="宋体" w:hAnsi="宋体" w:cs="宋体" w:hint="eastAsia"/>
                <w:b/>
                <w:bCs/>
                <w:color w:val="000000"/>
                <w:kern w:val="0"/>
                <w:sz w:val="22"/>
                <w:szCs w:val="22"/>
              </w:rPr>
              <w:br/>
            </w:r>
            <w:r>
              <w:rPr>
                <w:rFonts w:ascii="宋体" w:hAnsi="宋体" w:cs="宋体" w:hint="eastAsia"/>
                <w:b/>
                <w:bCs/>
                <w:color w:val="000000"/>
                <w:kern w:val="0"/>
                <w:sz w:val="22"/>
                <w:szCs w:val="22"/>
              </w:rPr>
              <w:t>目标</w:t>
            </w:r>
          </w:p>
        </w:tc>
        <w:tc>
          <w:tcPr>
            <w:tcW w:w="988" w:type="dxa"/>
            <w:tcBorders>
              <w:top w:val="single" w:sz="4" w:space="0" w:color="auto"/>
              <w:left w:val="nil"/>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任务</w:t>
            </w:r>
            <w:r>
              <w:rPr>
                <w:rFonts w:ascii="宋体" w:hAnsi="宋体" w:cs="宋体" w:hint="eastAsia"/>
                <w:b/>
                <w:bCs/>
                <w:color w:val="000000"/>
                <w:kern w:val="0"/>
                <w:sz w:val="22"/>
                <w:szCs w:val="22"/>
              </w:rPr>
              <w:br/>
            </w:r>
            <w:r>
              <w:rPr>
                <w:rFonts w:ascii="宋体" w:hAnsi="宋体" w:cs="宋体" w:hint="eastAsia"/>
                <w:b/>
                <w:bCs/>
                <w:color w:val="000000"/>
                <w:kern w:val="0"/>
                <w:sz w:val="22"/>
                <w:szCs w:val="22"/>
              </w:rPr>
              <w:t>性质</w:t>
            </w:r>
          </w:p>
        </w:tc>
        <w:tc>
          <w:tcPr>
            <w:tcW w:w="845" w:type="dxa"/>
            <w:tcBorders>
              <w:top w:val="single" w:sz="4" w:space="0" w:color="auto"/>
              <w:left w:val="nil"/>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实施</w:t>
            </w:r>
            <w:r>
              <w:rPr>
                <w:rFonts w:ascii="宋体" w:hAnsi="宋体" w:cs="宋体" w:hint="eastAsia"/>
                <w:b/>
                <w:bCs/>
                <w:color w:val="000000"/>
                <w:kern w:val="0"/>
                <w:sz w:val="22"/>
                <w:szCs w:val="22"/>
              </w:rPr>
              <w:br/>
            </w:r>
            <w:r>
              <w:rPr>
                <w:rFonts w:ascii="宋体" w:hAnsi="宋体" w:cs="宋体" w:hint="eastAsia"/>
                <w:b/>
                <w:bCs/>
                <w:color w:val="000000"/>
                <w:kern w:val="0"/>
                <w:sz w:val="22"/>
                <w:szCs w:val="22"/>
              </w:rPr>
              <w:t>方式</w:t>
            </w:r>
          </w:p>
        </w:tc>
        <w:tc>
          <w:tcPr>
            <w:tcW w:w="846" w:type="dxa"/>
            <w:tcBorders>
              <w:top w:val="single" w:sz="4" w:space="0" w:color="auto"/>
              <w:left w:val="nil"/>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实施</w:t>
            </w:r>
            <w:r>
              <w:rPr>
                <w:rFonts w:ascii="宋体" w:hAnsi="宋体" w:cs="宋体" w:hint="eastAsia"/>
                <w:b/>
                <w:bCs/>
                <w:color w:val="000000"/>
                <w:kern w:val="0"/>
                <w:sz w:val="22"/>
                <w:szCs w:val="22"/>
              </w:rPr>
              <w:br/>
            </w:r>
            <w:r>
              <w:rPr>
                <w:rFonts w:ascii="宋体" w:hAnsi="宋体" w:cs="宋体" w:hint="eastAsia"/>
                <w:b/>
                <w:bCs/>
                <w:color w:val="000000"/>
                <w:kern w:val="0"/>
                <w:sz w:val="22"/>
                <w:szCs w:val="22"/>
              </w:rPr>
              <w:t>标准</w:t>
            </w:r>
          </w:p>
        </w:tc>
        <w:tc>
          <w:tcPr>
            <w:tcW w:w="987" w:type="dxa"/>
            <w:tcBorders>
              <w:top w:val="single" w:sz="4" w:space="0" w:color="auto"/>
              <w:left w:val="nil"/>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工作量</w:t>
            </w:r>
          </w:p>
        </w:tc>
        <w:tc>
          <w:tcPr>
            <w:tcW w:w="704" w:type="dxa"/>
            <w:tcBorders>
              <w:top w:val="single" w:sz="4" w:space="0" w:color="auto"/>
              <w:left w:val="nil"/>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完成</w:t>
            </w:r>
            <w:r>
              <w:rPr>
                <w:rFonts w:ascii="宋体" w:hAnsi="宋体" w:cs="宋体" w:hint="eastAsia"/>
                <w:b/>
                <w:bCs/>
                <w:color w:val="000000"/>
                <w:kern w:val="0"/>
                <w:sz w:val="22"/>
                <w:szCs w:val="22"/>
              </w:rPr>
              <w:br/>
            </w:r>
            <w:r>
              <w:rPr>
                <w:rFonts w:ascii="宋体" w:hAnsi="宋体" w:cs="宋体" w:hint="eastAsia"/>
                <w:b/>
                <w:bCs/>
                <w:color w:val="000000"/>
                <w:kern w:val="0"/>
                <w:sz w:val="22"/>
                <w:szCs w:val="22"/>
              </w:rPr>
              <w:t>时限</w:t>
            </w:r>
          </w:p>
        </w:tc>
        <w:tc>
          <w:tcPr>
            <w:tcW w:w="703" w:type="dxa"/>
            <w:tcBorders>
              <w:top w:val="single" w:sz="4" w:space="0" w:color="auto"/>
              <w:left w:val="nil"/>
              <w:bottom w:val="single" w:sz="4" w:space="0" w:color="auto"/>
              <w:right w:val="single" w:sz="4" w:space="0" w:color="auto"/>
            </w:tcBorders>
            <w:shd w:val="clear" w:color="auto" w:fill="auto"/>
            <w:vAlign w:val="center"/>
          </w:tcPr>
          <w:p w:rsidR="00AC2D19" w:rsidRDefault="003774A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AC2D19">
        <w:trPr>
          <w:gridBefore w:val="1"/>
          <w:gridAfter w:val="1"/>
          <w:wBefore w:w="299" w:type="dxa"/>
          <w:wAfter w:w="278" w:type="dxa"/>
          <w:trHeight w:val="1965"/>
        </w:trPr>
        <w:tc>
          <w:tcPr>
            <w:tcW w:w="497" w:type="dxa"/>
            <w:tcBorders>
              <w:top w:val="nil"/>
              <w:left w:val="single" w:sz="4" w:space="0" w:color="auto"/>
              <w:bottom w:val="single" w:sz="4" w:space="0" w:color="auto"/>
              <w:right w:val="single" w:sz="4" w:space="0" w:color="auto"/>
            </w:tcBorders>
            <w:shd w:val="clear" w:color="auto" w:fill="auto"/>
            <w:noWrap/>
            <w:vAlign w:val="center"/>
          </w:tcPr>
          <w:p w:rsidR="00AC2D19" w:rsidRDefault="003774A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41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与专项资金项目清单一致</w:t>
            </w:r>
          </w:p>
        </w:tc>
        <w:tc>
          <w:tcPr>
            <w:tcW w:w="1271"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与专项资金项目清单一致</w:t>
            </w:r>
          </w:p>
        </w:tc>
        <w:tc>
          <w:tcPr>
            <w:tcW w:w="1270"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反映可量化、可操作、可执行、可检验的任务和目标</w:t>
            </w:r>
          </w:p>
        </w:tc>
        <w:tc>
          <w:tcPr>
            <w:tcW w:w="988"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约束性</w:t>
            </w:r>
            <w:r>
              <w:rPr>
                <w:rFonts w:ascii="仿宋_GB2312" w:eastAsia="仿宋_GB2312" w:hAnsi="宋体" w:cs="宋体" w:hint="eastAsia"/>
                <w:color w:val="000000"/>
                <w:kern w:val="0"/>
                <w:sz w:val="22"/>
                <w:szCs w:val="22"/>
              </w:rPr>
              <w:t>/</w:t>
            </w:r>
            <w:r>
              <w:rPr>
                <w:rFonts w:ascii="仿宋_GB2312" w:eastAsia="仿宋_GB2312" w:hAnsi="宋体" w:cs="宋体" w:hint="eastAsia"/>
                <w:color w:val="000000"/>
                <w:kern w:val="0"/>
                <w:sz w:val="22"/>
                <w:szCs w:val="22"/>
              </w:rPr>
              <w:t>指导性</w:t>
            </w:r>
          </w:p>
        </w:tc>
        <w:tc>
          <w:tcPr>
            <w:tcW w:w="845"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反映组织实施方法方式</w:t>
            </w:r>
          </w:p>
        </w:tc>
        <w:tc>
          <w:tcPr>
            <w:tcW w:w="846"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应对照执行的相关标准</w:t>
            </w:r>
          </w:p>
        </w:tc>
        <w:tc>
          <w:tcPr>
            <w:tcW w:w="987"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反映完成任务和目标的产出</w:t>
            </w:r>
          </w:p>
        </w:tc>
        <w:tc>
          <w:tcPr>
            <w:tcW w:w="704"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反映时限要求</w:t>
            </w:r>
          </w:p>
        </w:tc>
        <w:tc>
          <w:tcPr>
            <w:tcW w:w="70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其他</w:t>
            </w:r>
          </w:p>
        </w:tc>
      </w:tr>
      <w:tr w:rsidR="00AC2D19">
        <w:trPr>
          <w:gridBefore w:val="1"/>
          <w:gridAfter w:val="1"/>
          <w:wBefore w:w="299" w:type="dxa"/>
          <w:wAfter w:w="278" w:type="dxa"/>
          <w:trHeight w:val="495"/>
        </w:trPr>
        <w:tc>
          <w:tcPr>
            <w:tcW w:w="497" w:type="dxa"/>
            <w:tcBorders>
              <w:top w:val="nil"/>
              <w:left w:val="single" w:sz="4" w:space="0" w:color="auto"/>
              <w:bottom w:val="single" w:sz="4" w:space="0" w:color="auto"/>
              <w:right w:val="single" w:sz="4" w:space="0" w:color="auto"/>
            </w:tcBorders>
            <w:shd w:val="clear" w:color="auto" w:fill="auto"/>
            <w:noWrap/>
            <w:vAlign w:val="center"/>
          </w:tcPr>
          <w:p w:rsidR="00AC2D19" w:rsidRDefault="003774A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41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0"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988"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846"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987"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4"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AC2D19">
        <w:trPr>
          <w:gridBefore w:val="1"/>
          <w:gridAfter w:val="1"/>
          <w:wBefore w:w="299" w:type="dxa"/>
          <w:wAfter w:w="278" w:type="dxa"/>
          <w:trHeight w:val="495"/>
        </w:trPr>
        <w:tc>
          <w:tcPr>
            <w:tcW w:w="497" w:type="dxa"/>
            <w:tcBorders>
              <w:top w:val="nil"/>
              <w:left w:val="single" w:sz="4" w:space="0" w:color="auto"/>
              <w:bottom w:val="single" w:sz="4" w:space="0" w:color="auto"/>
              <w:right w:val="single" w:sz="4" w:space="0" w:color="auto"/>
            </w:tcBorders>
            <w:shd w:val="clear" w:color="auto" w:fill="auto"/>
            <w:noWrap/>
            <w:vAlign w:val="center"/>
          </w:tcPr>
          <w:p w:rsidR="00AC2D19" w:rsidRDefault="003774A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41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0"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988"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846"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987"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4"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AC2D19">
        <w:trPr>
          <w:gridBefore w:val="1"/>
          <w:gridAfter w:val="1"/>
          <w:wBefore w:w="299" w:type="dxa"/>
          <w:wAfter w:w="278" w:type="dxa"/>
          <w:trHeight w:val="495"/>
        </w:trPr>
        <w:tc>
          <w:tcPr>
            <w:tcW w:w="497" w:type="dxa"/>
            <w:tcBorders>
              <w:top w:val="nil"/>
              <w:left w:val="single" w:sz="4" w:space="0" w:color="auto"/>
              <w:bottom w:val="single" w:sz="4" w:space="0" w:color="auto"/>
              <w:right w:val="single" w:sz="4" w:space="0" w:color="auto"/>
            </w:tcBorders>
            <w:shd w:val="clear" w:color="auto" w:fill="auto"/>
            <w:noWrap/>
            <w:vAlign w:val="center"/>
          </w:tcPr>
          <w:p w:rsidR="00AC2D19" w:rsidRDefault="003774A3">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41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0"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988"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846"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987"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4"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AC2D19">
        <w:trPr>
          <w:gridBefore w:val="1"/>
          <w:gridAfter w:val="1"/>
          <w:wBefore w:w="299" w:type="dxa"/>
          <w:wAfter w:w="278" w:type="dxa"/>
          <w:trHeight w:val="495"/>
        </w:trPr>
        <w:tc>
          <w:tcPr>
            <w:tcW w:w="497" w:type="dxa"/>
            <w:tcBorders>
              <w:top w:val="nil"/>
              <w:left w:val="single" w:sz="4" w:space="0" w:color="auto"/>
              <w:bottom w:val="single" w:sz="4" w:space="0" w:color="auto"/>
              <w:right w:val="single" w:sz="4" w:space="0" w:color="auto"/>
            </w:tcBorders>
            <w:shd w:val="clear" w:color="auto" w:fill="auto"/>
            <w:noWrap/>
            <w:vAlign w:val="center"/>
          </w:tcPr>
          <w:p w:rsidR="00AC2D19" w:rsidRDefault="003774A3">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41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0"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988"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846"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987"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4"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AC2D19">
        <w:trPr>
          <w:gridBefore w:val="1"/>
          <w:gridAfter w:val="1"/>
          <w:wBefore w:w="299" w:type="dxa"/>
          <w:wAfter w:w="278" w:type="dxa"/>
          <w:trHeight w:val="495"/>
        </w:trPr>
        <w:tc>
          <w:tcPr>
            <w:tcW w:w="497" w:type="dxa"/>
            <w:tcBorders>
              <w:top w:val="nil"/>
              <w:left w:val="single" w:sz="4" w:space="0" w:color="auto"/>
              <w:bottom w:val="single" w:sz="4" w:space="0" w:color="auto"/>
              <w:right w:val="single" w:sz="4" w:space="0" w:color="auto"/>
            </w:tcBorders>
            <w:shd w:val="clear" w:color="auto" w:fill="auto"/>
            <w:noWrap/>
            <w:vAlign w:val="center"/>
          </w:tcPr>
          <w:p w:rsidR="00AC2D19" w:rsidRDefault="003774A3">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41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1270"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988"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846"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987"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4"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c>
          <w:tcPr>
            <w:tcW w:w="703" w:type="dxa"/>
            <w:tcBorders>
              <w:top w:val="nil"/>
              <w:left w:val="nil"/>
              <w:bottom w:val="single" w:sz="4" w:space="0" w:color="auto"/>
              <w:right w:val="single" w:sz="4" w:space="0" w:color="auto"/>
            </w:tcBorders>
            <w:shd w:val="clear" w:color="auto" w:fill="auto"/>
            <w:vAlign w:val="center"/>
          </w:tcPr>
          <w:p w:rsidR="00AC2D19" w:rsidRDefault="003774A3">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 xml:space="preserve">　</w:t>
            </w:r>
          </w:p>
        </w:tc>
      </w:tr>
      <w:tr w:rsidR="00AC2D19">
        <w:trPr>
          <w:gridBefore w:val="1"/>
          <w:gridAfter w:val="1"/>
          <w:wBefore w:w="299" w:type="dxa"/>
          <w:wAfter w:w="278" w:type="dxa"/>
          <w:trHeight w:val="675"/>
        </w:trPr>
        <w:tc>
          <w:tcPr>
            <w:tcW w:w="9524" w:type="dxa"/>
            <w:gridSpan w:val="10"/>
            <w:tcBorders>
              <w:top w:val="single" w:sz="4" w:space="0" w:color="auto"/>
              <w:left w:val="single" w:sz="4" w:space="0" w:color="auto"/>
              <w:bottom w:val="single" w:sz="4" w:space="0" w:color="auto"/>
              <w:right w:val="single" w:sz="4" w:space="0" w:color="auto"/>
            </w:tcBorders>
            <w:shd w:val="clear" w:color="auto" w:fill="auto"/>
          </w:tcPr>
          <w:p w:rsidR="00AC2D19" w:rsidRDefault="003774A3">
            <w:pPr>
              <w:widowControl/>
              <w:jc w:val="left"/>
              <w:rPr>
                <w:rFonts w:ascii="宋体" w:hAnsi="宋体" w:cs="宋体"/>
                <w:color w:val="000000"/>
                <w:kern w:val="0"/>
                <w:sz w:val="22"/>
                <w:szCs w:val="22"/>
              </w:rPr>
            </w:pPr>
            <w:r>
              <w:rPr>
                <w:rFonts w:ascii="宋体" w:hAnsi="宋体" w:cs="宋体" w:hint="eastAsia"/>
                <w:color w:val="000000"/>
                <w:kern w:val="0"/>
                <w:sz w:val="22"/>
                <w:szCs w:val="22"/>
              </w:rPr>
              <w:t>负面清单：</w:t>
            </w:r>
            <w:r>
              <w:rPr>
                <w:rFonts w:ascii="宋体" w:hAnsi="宋体" w:cs="宋体" w:hint="eastAsia"/>
                <w:color w:val="000000"/>
                <w:kern w:val="0"/>
                <w:sz w:val="22"/>
                <w:szCs w:val="22"/>
              </w:rPr>
              <w:br/>
            </w:r>
            <w:r>
              <w:rPr>
                <w:rFonts w:ascii="宋体" w:hAnsi="宋体" w:cs="宋体" w:hint="eastAsia"/>
                <w:color w:val="000000"/>
                <w:kern w:val="0"/>
                <w:sz w:val="22"/>
                <w:szCs w:val="22"/>
              </w:rPr>
              <w:t>反映资金不得投入的领域、范围、对象和用途等。</w:t>
            </w:r>
          </w:p>
        </w:tc>
      </w:tr>
    </w:tbl>
    <w:p w:rsidR="00AC2D19" w:rsidRDefault="00AC2D19">
      <w:pPr>
        <w:spacing w:line="580" w:lineRule="exact"/>
        <w:rPr>
          <w:rFonts w:eastAsia="方正仿宋简体"/>
          <w:sz w:val="32"/>
        </w:rPr>
      </w:pPr>
    </w:p>
    <w:p w:rsidR="00AC2D19" w:rsidRDefault="00AC2D19">
      <w:pPr>
        <w:spacing w:line="580" w:lineRule="exact"/>
        <w:rPr>
          <w:rFonts w:eastAsia="方正仿宋简体"/>
          <w:sz w:val="32"/>
        </w:rPr>
      </w:pPr>
    </w:p>
    <w:p w:rsidR="00AC2D19" w:rsidRDefault="003774A3">
      <w:pPr>
        <w:spacing w:line="580" w:lineRule="exact"/>
        <w:rPr>
          <w:rFonts w:eastAsia="仿宋_GB2312"/>
          <w:sz w:val="32"/>
        </w:rPr>
      </w:pPr>
      <w:r>
        <w:rPr>
          <w:rFonts w:eastAsia="仿宋_GB2312"/>
          <w:b/>
          <w:sz w:val="32"/>
        </w:rPr>
        <w:t>公开方式：</w:t>
      </w:r>
      <w:r>
        <w:rPr>
          <w:rFonts w:eastAsia="仿宋_GB2312" w:hint="eastAsia"/>
          <w:sz w:val="32"/>
          <w:szCs w:val="22"/>
        </w:rPr>
        <w:t>主动</w:t>
      </w:r>
      <w:r>
        <w:rPr>
          <w:rFonts w:eastAsia="仿宋_GB2312"/>
          <w:sz w:val="32"/>
        </w:rPr>
        <w:t>公开</w:t>
      </w:r>
    </w:p>
    <w:p w:rsidR="00AC2D19" w:rsidRDefault="00AC2D19">
      <w:pPr>
        <w:spacing w:line="580" w:lineRule="exact"/>
        <w:rPr>
          <w:rFonts w:eastAsia="仿宋_GB2312"/>
          <w:sz w:val="32"/>
        </w:rPr>
      </w:pPr>
    </w:p>
    <w:p w:rsidR="00AC2D19" w:rsidRDefault="003774A3">
      <w:pPr>
        <w:spacing w:line="400" w:lineRule="exact"/>
        <w:rPr>
          <w:rFonts w:eastAsia="方正仿宋简体"/>
          <w:sz w:val="32"/>
        </w:rPr>
      </w:pPr>
      <w:r>
        <w:rPr>
          <w:rFonts w:eastAsia="方正仿宋简体"/>
          <w:noProof/>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149860</wp:posOffset>
                </wp:positionV>
                <wp:extent cx="5615940"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CF67D7C" id="直接连接符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0,11.8pt" to="442.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">
                <w10:wrap type="topAndBottom"/>
              </v:line>
            </w:pict>
          </mc:Fallback>
        </mc:AlternateContent>
      </w:r>
    </w:p>
    <w:p w:rsidR="00AC2D19" w:rsidRDefault="003774A3">
      <w:pPr>
        <w:pStyle w:val="2"/>
        <w:ind w:leftChars="152" w:left="1159" w:hangingChars="300" w:hanging="840"/>
        <w:rPr>
          <w:rFonts w:ascii="Times New Roman"/>
          <w:spacing w:val="-12"/>
          <w:sz w:val="28"/>
          <w:szCs w:val="28"/>
        </w:rPr>
      </w:pPr>
      <w:r>
        <w:rPr>
          <w:rFonts w:ascii="Times New Roman"/>
          <w:sz w:val="28"/>
          <w:szCs w:val="28"/>
        </w:rPr>
        <w:t>抄送：</w:t>
      </w:r>
      <w:r>
        <w:rPr>
          <w:rFonts w:hAnsi="Tahoma" w:cs="Tahoma" w:hint="eastAsia"/>
          <w:kern w:val="0"/>
          <w:sz w:val="28"/>
          <w:szCs w:val="28"/>
          <w:lang w:val="zh-CN"/>
        </w:rPr>
        <w:t>区纪委监委，</w:t>
      </w:r>
      <w:r>
        <w:rPr>
          <w:rFonts w:ascii="Times New Roman"/>
          <w:kern w:val="0"/>
          <w:sz w:val="28"/>
          <w:szCs w:val="28"/>
        </w:rPr>
        <w:t>区委各部委办，区人大常委</w:t>
      </w:r>
      <w:r>
        <w:rPr>
          <w:rFonts w:ascii="Times New Roman" w:hint="eastAsia"/>
          <w:kern w:val="0"/>
          <w:sz w:val="28"/>
          <w:szCs w:val="28"/>
        </w:rPr>
        <w:t>会</w:t>
      </w:r>
      <w:r>
        <w:rPr>
          <w:rFonts w:ascii="Times New Roman"/>
          <w:kern w:val="0"/>
          <w:sz w:val="28"/>
          <w:szCs w:val="28"/>
        </w:rPr>
        <w:t>办公室，区政协办公室，区法院，区检察院</w:t>
      </w:r>
      <w:r>
        <w:rPr>
          <w:rFonts w:hint="eastAsia"/>
          <w:spacing w:val="-12"/>
          <w:sz w:val="28"/>
          <w:szCs w:val="28"/>
        </w:rPr>
        <w:t>。</w:t>
      </w:r>
    </w:p>
    <w:p w:rsidR="00AC2D19" w:rsidRDefault="003774A3">
      <w:pPr>
        <w:ind w:firstLineChars="400" w:firstLine="800"/>
      </w:pPr>
      <w:r>
        <w:rPr>
          <w:rFonts w:eastAsia="仿宋_GB2312"/>
          <w:noProof/>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109220</wp:posOffset>
                </wp:positionV>
                <wp:extent cx="5615940" cy="0"/>
                <wp:effectExtent l="0" t="0" r="0" b="0"/>
                <wp:wrapTopAndBottom/>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459714B"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8.6pt" to="442.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">
                <w10:wrap type="topAndBottom"/>
              </v:line>
            </w:pict>
          </mc:Fallback>
        </mc:AlternateContent>
      </w:r>
    </w:p>
    <w:sectPr w:rsidR="00AC2D19">
      <w:footerReference w:type="even" r:id="rId8"/>
      <w:footerReference w:type="default" r:id="rId9"/>
      <w:pgSz w:w="11906" w:h="16838"/>
      <w:pgMar w:top="1814" w:right="1474" w:bottom="1814" w:left="1531"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4A3" w:rsidRDefault="003774A3">
      <w:r>
        <w:separator/>
      </w:r>
    </w:p>
  </w:endnote>
  <w:endnote w:type="continuationSeparator" w:id="0">
    <w:p w:rsidR="003774A3" w:rsidRDefault="0037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方正小标宋简体">
    <w:altName w:val="仿宋_GB2312"/>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19" w:rsidRDefault="003774A3">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AC2D19" w:rsidRDefault="00AC2D19">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19" w:rsidRDefault="003774A3">
    <w:pPr>
      <w:pStyle w:val="a3"/>
      <w:framePr w:wrap="around" w:vAnchor="text" w:hAnchor="margin" w:xAlign="outside" w:y="1"/>
      <w:ind w:rightChars="200" w:right="420" w:firstLineChars="122" w:firstLine="367"/>
      <w:rPr>
        <w:rStyle w:val="a5"/>
        <w:b/>
        <w:bCs/>
        <w:sz w:val="30"/>
      </w:rPr>
    </w:pPr>
    <w:r>
      <w:rPr>
        <w:rStyle w:val="a5"/>
        <w:rFonts w:hint="eastAsia"/>
        <w:b/>
        <w:bCs/>
        <w:sz w:val="30"/>
      </w:rPr>
      <w:t>—</w:t>
    </w:r>
    <w:r>
      <w:rPr>
        <w:rStyle w:val="a5"/>
        <w:rFonts w:hint="eastAsia"/>
        <w:b/>
        <w:bCs/>
        <w:sz w:val="30"/>
      </w:rPr>
      <w:t xml:space="preserve"> </w:t>
    </w:r>
    <w:r>
      <w:rPr>
        <w:rStyle w:val="a5"/>
        <w:b/>
        <w:bCs/>
        <w:sz w:val="30"/>
      </w:rPr>
      <w:fldChar w:fldCharType="begin"/>
    </w:r>
    <w:r>
      <w:rPr>
        <w:rStyle w:val="a5"/>
        <w:b/>
        <w:bCs/>
        <w:sz w:val="30"/>
      </w:rPr>
      <w:instrText xml:space="preserve">PAGE  </w:instrText>
    </w:r>
    <w:r>
      <w:rPr>
        <w:rStyle w:val="a5"/>
        <w:b/>
        <w:bCs/>
        <w:sz w:val="30"/>
      </w:rPr>
      <w:fldChar w:fldCharType="separate"/>
    </w:r>
    <w:r w:rsidR="00B8774B">
      <w:rPr>
        <w:rStyle w:val="a5"/>
        <w:b/>
        <w:bCs/>
        <w:noProof/>
        <w:sz w:val="30"/>
      </w:rPr>
      <w:t>13</w:t>
    </w:r>
    <w:r>
      <w:rPr>
        <w:rStyle w:val="a5"/>
        <w:b/>
        <w:bCs/>
        <w:sz w:val="30"/>
      </w:rPr>
      <w:fldChar w:fldCharType="end"/>
    </w:r>
    <w:r>
      <w:rPr>
        <w:rStyle w:val="a5"/>
        <w:rFonts w:hint="eastAsia"/>
        <w:b/>
        <w:bCs/>
        <w:sz w:val="30"/>
      </w:rPr>
      <w:t xml:space="preserve"> </w:t>
    </w:r>
    <w:r>
      <w:rPr>
        <w:rStyle w:val="a5"/>
        <w:rFonts w:hint="eastAsia"/>
        <w:b/>
        <w:bCs/>
        <w:sz w:val="30"/>
      </w:rPr>
      <w:t>—</w:t>
    </w:r>
    <w:r>
      <w:rPr>
        <w:rStyle w:val="a5"/>
        <w:rFonts w:hint="eastAsia"/>
        <w:b/>
        <w:bCs/>
        <w:sz w:val="30"/>
      </w:rPr>
      <w:t xml:space="preserve">  </w:t>
    </w:r>
  </w:p>
  <w:p w:rsidR="00AC2D19" w:rsidRDefault="00AC2D19">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4A3" w:rsidRDefault="003774A3">
      <w:r>
        <w:separator/>
      </w:r>
    </w:p>
  </w:footnote>
  <w:footnote w:type="continuationSeparator" w:id="0">
    <w:p w:rsidR="003774A3" w:rsidRDefault="00377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870C9"/>
    <w:rsid w:val="003774A3"/>
    <w:rsid w:val="00AC2D19"/>
    <w:rsid w:val="00B8774B"/>
    <w:rsid w:val="2F611199"/>
    <w:rsid w:val="2FFD77F5"/>
    <w:rsid w:val="3E9870C9"/>
    <w:rsid w:val="4279304E"/>
    <w:rsid w:val="45E362BA"/>
    <w:rsid w:val="5D2853B7"/>
    <w:rsid w:val="7BCE1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CA774D2-58DD-4B43-9988-2BC3ED96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adjustRightInd w:val="0"/>
      <w:snapToGrid w:val="0"/>
      <w:spacing w:line="540" w:lineRule="exact"/>
      <w:ind w:firstLineChars="200" w:firstLine="640"/>
    </w:pPr>
    <w:rPr>
      <w:rFonts w:ascii="仿宋_GB2312" w:eastAsia="仿宋_GB2312"/>
      <w:sz w:val="32"/>
    </w:rPr>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26</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斐斐</dc:creator>
  <cp:lastModifiedBy>陈钰棠</cp:lastModifiedBy>
  <cp:revision>2</cp:revision>
  <dcterms:created xsi:type="dcterms:W3CDTF">2019-04-23T03:52:00Z</dcterms:created>
  <dcterms:modified xsi:type="dcterms:W3CDTF">2020-03-05T03:30:00Z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